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E5D2" w14:textId="563EF9B1" w:rsidR="00B95E97" w:rsidRPr="007A359A" w:rsidRDefault="00B95E97" w:rsidP="0019513E">
      <w:pPr>
        <w:rPr>
          <w:rFonts w:ascii="Calibri" w:hAnsi="Calibri" w:cs="Arial-BoldMT"/>
          <w:b/>
          <w:bCs/>
          <w:color w:val="000000"/>
          <w:sz w:val="36"/>
          <w:szCs w:val="36"/>
        </w:rPr>
      </w:pPr>
      <w:bookmarkStart w:id="0" w:name="_Toc493425292"/>
      <w:bookmarkStart w:id="1" w:name="_Toc494651125"/>
      <w:r w:rsidRPr="008C0865">
        <w:rPr>
          <w:rFonts w:cs="Arial"/>
          <w:b/>
          <w:bCs/>
          <w:kern w:val="32"/>
          <w:sz w:val="36"/>
          <w:szCs w:val="36"/>
          <w:lang w:val="en-US"/>
        </w:rPr>
        <w:t>Edward Jenner School</w:t>
      </w:r>
      <w:bookmarkEnd w:id="0"/>
      <w:bookmarkEnd w:id="1"/>
      <w:r w:rsidR="0019513E">
        <w:rPr>
          <w:rFonts w:cs="Arial"/>
          <w:b/>
          <w:bCs/>
          <w:kern w:val="32"/>
          <w:sz w:val="36"/>
          <w:szCs w:val="36"/>
          <w:lang w:val="en-US"/>
        </w:rPr>
        <w:t xml:space="preserve"> - </w:t>
      </w:r>
      <w:r w:rsidRPr="007A359A">
        <w:rPr>
          <w:rFonts w:ascii="Calibri" w:hAnsi="Calibri" w:cs="Arial-BoldMT"/>
          <w:b/>
          <w:bCs/>
          <w:color w:val="000000"/>
          <w:sz w:val="36"/>
          <w:szCs w:val="36"/>
        </w:rPr>
        <w:t>Data Protection Policy</w:t>
      </w:r>
    </w:p>
    <w:p w14:paraId="332C7B6D" w14:textId="00796CF4" w:rsidR="00B95E97" w:rsidRPr="008C0865" w:rsidRDefault="00B95E97" w:rsidP="00B95E97">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1576"/>
        <w:gridCol w:w="4518"/>
      </w:tblGrid>
      <w:tr w:rsidR="0019513E" w:rsidRPr="0019513E" w14:paraId="05F1EC08" w14:textId="77777777" w:rsidTr="0019513E">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4C87C9D5" w14:textId="77777777" w:rsidR="00B95E97" w:rsidRPr="0019513E" w:rsidRDefault="00B95E97" w:rsidP="0019513E">
            <w:pPr>
              <w:ind w:left="90" w:hanging="360"/>
              <w:jc w:val="center"/>
              <w:rPr>
                <w:rFonts w:cstheme="minorHAnsi"/>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056C3ED" w14:textId="77777777" w:rsidR="00B95E97" w:rsidRPr="0019513E" w:rsidRDefault="00B95E97" w:rsidP="0019513E">
            <w:pPr>
              <w:ind w:left="90" w:hanging="90"/>
              <w:jc w:val="center"/>
              <w:rPr>
                <w:rFonts w:cstheme="minorHAnsi"/>
              </w:rPr>
            </w:pPr>
            <w:r w:rsidRPr="0019513E">
              <w:rPr>
                <w:rFonts w:cstheme="minorHAnsi"/>
              </w:rPr>
              <w:t>Date</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6BA722E0" w14:textId="77777777" w:rsidR="00B95E97" w:rsidRPr="0019513E" w:rsidRDefault="00B95E97" w:rsidP="0019513E">
            <w:pPr>
              <w:ind w:left="90" w:hanging="360"/>
              <w:jc w:val="center"/>
              <w:rPr>
                <w:rFonts w:cstheme="minorHAnsi"/>
              </w:rPr>
            </w:pPr>
            <w:r w:rsidRPr="0019513E">
              <w:rPr>
                <w:rFonts w:cstheme="minorHAnsi"/>
              </w:rPr>
              <w:t>Signed</w:t>
            </w:r>
          </w:p>
        </w:tc>
      </w:tr>
      <w:tr w:rsidR="0019513E" w:rsidRPr="0019513E" w14:paraId="6AFDEC97" w14:textId="77777777" w:rsidTr="0019513E">
        <w:trPr>
          <w:trHeight w:val="799"/>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10FEC09A" w14:textId="046AC41E" w:rsidR="00B95E97" w:rsidRPr="0019513E" w:rsidRDefault="00B95E97" w:rsidP="0019513E">
            <w:pPr>
              <w:ind w:left="90"/>
              <w:jc w:val="center"/>
              <w:rPr>
                <w:rFonts w:cstheme="minorHAnsi"/>
              </w:rPr>
            </w:pPr>
            <w:r w:rsidRPr="0019513E">
              <w:rPr>
                <w:rFonts w:cstheme="minorHAnsi"/>
              </w:rPr>
              <w:t>Date Created</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82F8AF2" w14:textId="77777777" w:rsidR="00B95E97" w:rsidRPr="0019513E" w:rsidRDefault="00B95E97" w:rsidP="0019513E">
            <w:pPr>
              <w:ind w:left="90" w:hanging="90"/>
              <w:jc w:val="center"/>
              <w:rPr>
                <w:rFonts w:cstheme="minorHAnsi"/>
              </w:rPr>
            </w:pPr>
            <w:r w:rsidRPr="0019513E">
              <w:rPr>
                <w:rFonts w:cstheme="minorHAnsi"/>
              </w:rPr>
              <w:t>April 2018</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79A5DC36" w14:textId="44923443" w:rsidR="00B95E97" w:rsidRPr="0019513E" w:rsidRDefault="0019513E" w:rsidP="0019513E">
            <w:pPr>
              <w:ind w:left="90" w:hanging="360"/>
              <w:jc w:val="center"/>
              <w:rPr>
                <w:rFonts w:cstheme="minorHAnsi"/>
              </w:rPr>
            </w:pPr>
            <w:r w:rsidRPr="0019513E">
              <w:rPr>
                <w:rFonts w:cstheme="minorHAnsi"/>
              </w:rPr>
              <w:t>P</w:t>
            </w:r>
            <w:r w:rsidR="00B95E97" w:rsidRPr="0019513E">
              <w:rPr>
                <w:rFonts w:cstheme="minorHAnsi"/>
              </w:rPr>
              <w:t xml:space="preserve"> Brookes</w:t>
            </w:r>
          </w:p>
        </w:tc>
      </w:tr>
      <w:tr w:rsidR="0019513E" w:rsidRPr="0019513E" w14:paraId="12AC8340" w14:textId="77777777" w:rsidTr="0019513E">
        <w:trPr>
          <w:trHeight w:val="844"/>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2A6A4921" w14:textId="77777777" w:rsidR="00B95E97" w:rsidRPr="0019513E" w:rsidRDefault="00B95E97" w:rsidP="0019513E">
            <w:pPr>
              <w:ind w:left="90"/>
              <w:jc w:val="center"/>
              <w:rPr>
                <w:rFonts w:cstheme="minorHAnsi"/>
              </w:rPr>
            </w:pPr>
            <w:r w:rsidRPr="0019513E">
              <w:rPr>
                <w:rFonts w:cstheme="minorHAnsi"/>
              </w:rPr>
              <w:t>Ratified by Head</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A843C99" w14:textId="77777777" w:rsidR="00B95E97" w:rsidRPr="0019513E" w:rsidRDefault="00B95E97" w:rsidP="0019513E">
            <w:pPr>
              <w:ind w:left="90" w:hanging="90"/>
              <w:jc w:val="center"/>
              <w:rPr>
                <w:rFonts w:cstheme="minorHAnsi"/>
              </w:rPr>
            </w:pPr>
            <w:r w:rsidRPr="0019513E">
              <w:rPr>
                <w:rFonts w:cstheme="minorHAnsi"/>
              </w:rPr>
              <w:t>May 2018</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6D73E887" w14:textId="58D7A52F" w:rsidR="00B95E97" w:rsidRPr="0019513E" w:rsidRDefault="00B95E97" w:rsidP="0019513E">
            <w:pPr>
              <w:ind w:left="90" w:hanging="360"/>
              <w:jc w:val="center"/>
              <w:rPr>
                <w:rFonts w:cstheme="minorHAnsi"/>
              </w:rPr>
            </w:pPr>
            <w:r w:rsidRPr="0019513E">
              <w:rPr>
                <w:rFonts w:cstheme="minorHAnsi"/>
              </w:rPr>
              <w:t>A Brooke</w:t>
            </w:r>
            <w:r w:rsidR="0019513E" w:rsidRPr="0019513E">
              <w:rPr>
                <w:rFonts w:cstheme="minorHAnsi"/>
              </w:rPr>
              <w:t>s</w:t>
            </w:r>
          </w:p>
        </w:tc>
      </w:tr>
      <w:tr w:rsidR="0019513E" w:rsidRPr="0019513E" w14:paraId="3AABDE14" w14:textId="77777777" w:rsidTr="0019513E">
        <w:trPr>
          <w:trHeight w:val="717"/>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7F33D9A1" w14:textId="77777777" w:rsidR="00B95E97" w:rsidRPr="0019513E" w:rsidRDefault="00B95E97" w:rsidP="0019513E">
            <w:pPr>
              <w:ind w:left="90"/>
              <w:jc w:val="center"/>
              <w:rPr>
                <w:rFonts w:cstheme="minorHAnsi"/>
              </w:rPr>
            </w:pPr>
            <w:r w:rsidRPr="0019513E">
              <w:rPr>
                <w:rFonts w:cstheme="minorHAnsi"/>
              </w:rPr>
              <w:t>Reviewed and Updated</w:t>
            </w:r>
          </w:p>
        </w:tc>
        <w:tc>
          <w:tcPr>
            <w:tcW w:w="950" w:type="pct"/>
            <w:tcBorders>
              <w:top w:val="single" w:sz="4" w:space="0" w:color="auto"/>
              <w:left w:val="single" w:sz="4" w:space="0" w:color="auto"/>
              <w:right w:val="single" w:sz="4" w:space="0" w:color="auto"/>
            </w:tcBorders>
            <w:shd w:val="clear" w:color="auto" w:fill="auto"/>
            <w:vAlign w:val="center"/>
          </w:tcPr>
          <w:p w14:paraId="0330FC37" w14:textId="3E169AD0" w:rsidR="00B95E97" w:rsidRPr="0019513E" w:rsidRDefault="00B94696" w:rsidP="0019513E">
            <w:pPr>
              <w:ind w:left="90" w:hanging="90"/>
              <w:jc w:val="center"/>
              <w:rPr>
                <w:rFonts w:cstheme="minorHAnsi"/>
                <w:highlight w:val="yellow"/>
              </w:rPr>
            </w:pPr>
            <w:r>
              <w:rPr>
                <w:rFonts w:cstheme="minorHAnsi"/>
              </w:rPr>
              <w:t>Sept</w:t>
            </w:r>
            <w:r w:rsidR="00B95E97" w:rsidRPr="0019513E">
              <w:rPr>
                <w:rFonts w:cstheme="minorHAnsi"/>
              </w:rPr>
              <w:t xml:space="preserve"> 20</w:t>
            </w:r>
          </w:p>
        </w:tc>
        <w:tc>
          <w:tcPr>
            <w:tcW w:w="2723" w:type="pct"/>
            <w:tcBorders>
              <w:top w:val="single" w:sz="4" w:space="0" w:color="auto"/>
              <w:left w:val="single" w:sz="4" w:space="0" w:color="auto"/>
              <w:right w:val="single" w:sz="4" w:space="0" w:color="auto"/>
            </w:tcBorders>
            <w:shd w:val="clear" w:color="auto" w:fill="auto"/>
            <w:vAlign w:val="center"/>
          </w:tcPr>
          <w:p w14:paraId="09486DE0" w14:textId="77777777" w:rsidR="00B95E97" w:rsidRPr="0019513E" w:rsidRDefault="00B95E97" w:rsidP="0019513E">
            <w:pPr>
              <w:ind w:left="456" w:hanging="360"/>
              <w:jc w:val="center"/>
              <w:rPr>
                <w:rFonts w:cstheme="minorHAnsi"/>
                <w:highlight w:val="yellow"/>
              </w:rPr>
            </w:pPr>
            <w:r w:rsidRPr="0019513E">
              <w:rPr>
                <w:rFonts w:cstheme="minorHAnsi"/>
              </w:rPr>
              <w:t>P Brookes</w:t>
            </w:r>
          </w:p>
        </w:tc>
      </w:tr>
      <w:tr w:rsidR="0019513E" w:rsidRPr="0019513E" w14:paraId="53CCC62B" w14:textId="77777777" w:rsidTr="00075D9B">
        <w:trPr>
          <w:trHeight w:val="717"/>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6E737C78" w14:textId="0BB1985C" w:rsidR="00B95E97" w:rsidRPr="0019513E" w:rsidRDefault="00075D9B" w:rsidP="0019513E">
            <w:pPr>
              <w:ind w:left="90"/>
              <w:jc w:val="center"/>
              <w:rPr>
                <w:rFonts w:cstheme="minorHAnsi"/>
              </w:rPr>
            </w:pPr>
            <w:r>
              <w:rPr>
                <w:rFonts w:cstheme="minorHAnsi"/>
              </w:rPr>
              <w:t>Reviewed and updated</w:t>
            </w:r>
          </w:p>
        </w:tc>
        <w:tc>
          <w:tcPr>
            <w:tcW w:w="950" w:type="pct"/>
            <w:tcBorders>
              <w:left w:val="single" w:sz="4" w:space="0" w:color="auto"/>
              <w:right w:val="single" w:sz="4" w:space="0" w:color="auto"/>
            </w:tcBorders>
            <w:shd w:val="clear" w:color="auto" w:fill="auto"/>
            <w:vAlign w:val="center"/>
          </w:tcPr>
          <w:p w14:paraId="5F7B08FE" w14:textId="36D93D5C" w:rsidR="00B95E97" w:rsidRPr="0019513E" w:rsidRDefault="00075D9B" w:rsidP="0019513E">
            <w:pPr>
              <w:ind w:left="90" w:hanging="90"/>
              <w:jc w:val="center"/>
              <w:rPr>
                <w:rFonts w:cstheme="minorHAnsi"/>
              </w:rPr>
            </w:pPr>
            <w:r>
              <w:rPr>
                <w:rFonts w:cstheme="minorHAnsi"/>
              </w:rPr>
              <w:t xml:space="preserve">Oct </w:t>
            </w:r>
            <w:r w:rsidR="00B95E97" w:rsidRPr="0019513E">
              <w:rPr>
                <w:rFonts w:cstheme="minorHAnsi"/>
              </w:rPr>
              <w:t>22</w:t>
            </w:r>
          </w:p>
        </w:tc>
        <w:tc>
          <w:tcPr>
            <w:tcW w:w="2723" w:type="pct"/>
            <w:tcBorders>
              <w:left w:val="single" w:sz="4" w:space="0" w:color="auto"/>
              <w:right w:val="single" w:sz="4" w:space="0" w:color="auto"/>
            </w:tcBorders>
            <w:shd w:val="clear" w:color="auto" w:fill="auto"/>
            <w:vAlign w:val="center"/>
          </w:tcPr>
          <w:p w14:paraId="0E14ECCA" w14:textId="7A7418BD" w:rsidR="00B95E97" w:rsidRPr="0019513E" w:rsidRDefault="00894A2A" w:rsidP="0019513E">
            <w:pPr>
              <w:ind w:left="456" w:hanging="360"/>
              <w:jc w:val="center"/>
              <w:rPr>
                <w:rFonts w:cstheme="minorHAnsi"/>
              </w:rPr>
            </w:pPr>
            <w:r>
              <w:rPr>
                <w:rFonts w:cstheme="minorHAnsi"/>
              </w:rPr>
              <w:t>A Brookes</w:t>
            </w:r>
          </w:p>
        </w:tc>
      </w:tr>
      <w:tr w:rsidR="00075D9B" w:rsidRPr="0019513E" w14:paraId="4F7B0A5D" w14:textId="77777777" w:rsidTr="0019513E">
        <w:trPr>
          <w:trHeight w:val="717"/>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16E38925" w14:textId="45F713F1" w:rsidR="00075D9B" w:rsidRDefault="00075D9B" w:rsidP="0019513E">
            <w:pPr>
              <w:ind w:left="90"/>
              <w:jc w:val="center"/>
              <w:rPr>
                <w:rFonts w:cstheme="minorHAnsi"/>
              </w:rPr>
            </w:pPr>
            <w:r>
              <w:rPr>
                <w:rFonts w:cstheme="minorHAnsi"/>
              </w:rPr>
              <w:t xml:space="preserve">Next Date of Review </w:t>
            </w:r>
          </w:p>
        </w:tc>
        <w:tc>
          <w:tcPr>
            <w:tcW w:w="950" w:type="pct"/>
            <w:tcBorders>
              <w:left w:val="single" w:sz="4" w:space="0" w:color="auto"/>
              <w:bottom w:val="single" w:sz="4" w:space="0" w:color="auto"/>
              <w:right w:val="single" w:sz="4" w:space="0" w:color="auto"/>
            </w:tcBorders>
            <w:shd w:val="clear" w:color="auto" w:fill="auto"/>
            <w:vAlign w:val="center"/>
          </w:tcPr>
          <w:p w14:paraId="32111A8C" w14:textId="362527CA" w:rsidR="00075D9B" w:rsidRDefault="00075D9B" w:rsidP="0019513E">
            <w:pPr>
              <w:ind w:left="90" w:hanging="90"/>
              <w:jc w:val="center"/>
              <w:rPr>
                <w:rFonts w:cstheme="minorHAnsi"/>
              </w:rPr>
            </w:pPr>
            <w:r>
              <w:rPr>
                <w:rFonts w:cstheme="minorHAnsi"/>
              </w:rPr>
              <w:t>Oct 24</w:t>
            </w:r>
          </w:p>
        </w:tc>
        <w:tc>
          <w:tcPr>
            <w:tcW w:w="2723" w:type="pct"/>
            <w:tcBorders>
              <w:left w:val="single" w:sz="4" w:space="0" w:color="auto"/>
              <w:bottom w:val="single" w:sz="4" w:space="0" w:color="auto"/>
              <w:right w:val="single" w:sz="4" w:space="0" w:color="auto"/>
            </w:tcBorders>
            <w:shd w:val="clear" w:color="auto" w:fill="auto"/>
            <w:vAlign w:val="center"/>
          </w:tcPr>
          <w:p w14:paraId="553438FC" w14:textId="77777777" w:rsidR="00075D9B" w:rsidRDefault="00075D9B" w:rsidP="0019513E">
            <w:pPr>
              <w:ind w:left="456" w:hanging="360"/>
              <w:jc w:val="center"/>
              <w:rPr>
                <w:rFonts w:cstheme="minorHAnsi"/>
              </w:rPr>
            </w:pPr>
          </w:p>
        </w:tc>
      </w:tr>
    </w:tbl>
    <w:p w14:paraId="71DB2FB7" w14:textId="77777777" w:rsidR="00B95E97" w:rsidRDefault="00B95E97" w:rsidP="00B95E97">
      <w:pPr>
        <w:autoSpaceDE w:val="0"/>
        <w:autoSpaceDN w:val="0"/>
        <w:adjustRightInd w:val="0"/>
        <w:rPr>
          <w:rFonts w:cs="Times-Roman"/>
          <w:b/>
          <w:bCs/>
        </w:rPr>
      </w:pPr>
    </w:p>
    <w:p w14:paraId="00C2865B" w14:textId="77777777" w:rsidR="00B95E97" w:rsidRDefault="00B95E97" w:rsidP="00B95E97">
      <w:pPr>
        <w:rPr>
          <w:rFonts w:cs="Times-Roman"/>
          <w:b/>
          <w:bCs/>
        </w:rPr>
      </w:pPr>
      <w:r>
        <w:rPr>
          <w:rFonts w:cs="Times-Roman"/>
          <w:b/>
          <w:bCs/>
        </w:rPr>
        <w:br w:type="page"/>
      </w:r>
    </w:p>
    <w:sdt>
      <w:sdtPr>
        <w:rPr>
          <w:rFonts w:asciiTheme="minorHAnsi" w:eastAsia="Times New Roman" w:hAnsiTheme="minorHAnsi" w:cs="Times New Roman"/>
          <w:color w:val="auto"/>
          <w:sz w:val="24"/>
          <w:szCs w:val="24"/>
          <w:lang w:val="en-GB" w:eastAsia="en-GB"/>
        </w:rPr>
        <w:id w:val="-308327532"/>
        <w:docPartObj>
          <w:docPartGallery w:val="Table of Contents"/>
          <w:docPartUnique/>
        </w:docPartObj>
      </w:sdtPr>
      <w:sdtEndPr>
        <w:rPr>
          <w:b/>
          <w:bCs/>
          <w:noProof/>
        </w:rPr>
      </w:sdtEndPr>
      <w:sdtContent>
        <w:p w14:paraId="039E054D" w14:textId="3F067C01" w:rsidR="00F4738A" w:rsidRDefault="00F4738A">
          <w:pPr>
            <w:pStyle w:val="TOCHeading"/>
          </w:pPr>
          <w:r>
            <w:t>Contents</w:t>
          </w:r>
        </w:p>
        <w:p w14:paraId="0936EE39" w14:textId="517AEB88" w:rsidR="00EE54DF" w:rsidRDefault="00F4738A">
          <w:pPr>
            <w:pStyle w:val="TOC1"/>
            <w:tabs>
              <w:tab w:val="right" w:leader="dot" w:pos="8296"/>
            </w:tabs>
            <w:rPr>
              <w:rFonts w:eastAsiaTheme="minorEastAsia" w:cstheme="minorBidi"/>
              <w:noProof/>
              <w:sz w:val="22"/>
              <w:szCs w:val="22"/>
            </w:rPr>
          </w:pPr>
          <w:r>
            <w:fldChar w:fldCharType="begin"/>
          </w:r>
          <w:r>
            <w:instrText xml:space="preserve"> TOC \o "1-3" \h \z \u </w:instrText>
          </w:r>
          <w:r>
            <w:fldChar w:fldCharType="separate"/>
          </w:r>
          <w:hyperlink w:anchor="_Toc51515065" w:history="1">
            <w:r w:rsidR="00EE54DF" w:rsidRPr="00AD1F0E">
              <w:rPr>
                <w:rStyle w:val="Hyperlink"/>
                <w:rFonts w:eastAsiaTheme="majorEastAsia"/>
                <w:noProof/>
              </w:rPr>
              <w:t>Introduction</w:t>
            </w:r>
            <w:r w:rsidR="00EE54DF">
              <w:rPr>
                <w:noProof/>
                <w:webHidden/>
              </w:rPr>
              <w:tab/>
            </w:r>
            <w:r w:rsidR="00EE54DF">
              <w:rPr>
                <w:noProof/>
                <w:webHidden/>
              </w:rPr>
              <w:fldChar w:fldCharType="begin"/>
            </w:r>
            <w:r w:rsidR="00EE54DF">
              <w:rPr>
                <w:noProof/>
                <w:webHidden/>
              </w:rPr>
              <w:instrText xml:space="preserve"> PAGEREF _Toc51515065 \h </w:instrText>
            </w:r>
            <w:r w:rsidR="00EE54DF">
              <w:rPr>
                <w:noProof/>
                <w:webHidden/>
              </w:rPr>
            </w:r>
            <w:r w:rsidR="00EE54DF">
              <w:rPr>
                <w:noProof/>
                <w:webHidden/>
              </w:rPr>
              <w:fldChar w:fldCharType="separate"/>
            </w:r>
            <w:r w:rsidR="00EE54DF">
              <w:rPr>
                <w:noProof/>
                <w:webHidden/>
              </w:rPr>
              <w:t>3</w:t>
            </w:r>
            <w:r w:rsidR="00EE54DF">
              <w:rPr>
                <w:noProof/>
                <w:webHidden/>
              </w:rPr>
              <w:fldChar w:fldCharType="end"/>
            </w:r>
          </w:hyperlink>
        </w:p>
        <w:p w14:paraId="1B5DBA2E" w14:textId="64EF49D8" w:rsidR="00EE54DF" w:rsidRDefault="00000000">
          <w:pPr>
            <w:pStyle w:val="TOC1"/>
            <w:tabs>
              <w:tab w:val="left" w:pos="440"/>
              <w:tab w:val="right" w:leader="dot" w:pos="8296"/>
            </w:tabs>
            <w:rPr>
              <w:rFonts w:eastAsiaTheme="minorEastAsia" w:cstheme="minorBidi"/>
              <w:noProof/>
              <w:sz w:val="22"/>
              <w:szCs w:val="22"/>
            </w:rPr>
          </w:pPr>
          <w:hyperlink w:anchor="_Toc51515066" w:history="1">
            <w:r w:rsidR="00EE54DF" w:rsidRPr="00AD1F0E">
              <w:rPr>
                <w:rStyle w:val="Hyperlink"/>
                <w:rFonts w:eastAsiaTheme="majorEastAsia"/>
                <w:noProof/>
              </w:rPr>
              <w:t>1.</w:t>
            </w:r>
            <w:r w:rsidR="00EE54DF">
              <w:rPr>
                <w:rFonts w:eastAsiaTheme="minorEastAsia" w:cstheme="minorBidi"/>
                <w:noProof/>
                <w:sz w:val="22"/>
                <w:szCs w:val="22"/>
              </w:rPr>
              <w:tab/>
            </w:r>
            <w:r w:rsidR="00EE54DF" w:rsidRPr="00AD1F0E">
              <w:rPr>
                <w:rStyle w:val="Hyperlink"/>
                <w:rFonts w:eastAsiaTheme="majorEastAsia"/>
                <w:noProof/>
              </w:rPr>
              <w:t>GENERAL STATEMENT</w:t>
            </w:r>
            <w:r w:rsidR="00EE54DF">
              <w:rPr>
                <w:noProof/>
                <w:webHidden/>
              </w:rPr>
              <w:tab/>
            </w:r>
            <w:r w:rsidR="00EE54DF">
              <w:rPr>
                <w:noProof/>
                <w:webHidden/>
              </w:rPr>
              <w:fldChar w:fldCharType="begin"/>
            </w:r>
            <w:r w:rsidR="00EE54DF">
              <w:rPr>
                <w:noProof/>
                <w:webHidden/>
              </w:rPr>
              <w:instrText xml:space="preserve"> PAGEREF _Toc51515066 \h </w:instrText>
            </w:r>
            <w:r w:rsidR="00EE54DF">
              <w:rPr>
                <w:noProof/>
                <w:webHidden/>
              </w:rPr>
            </w:r>
            <w:r w:rsidR="00EE54DF">
              <w:rPr>
                <w:noProof/>
                <w:webHidden/>
              </w:rPr>
              <w:fldChar w:fldCharType="separate"/>
            </w:r>
            <w:r w:rsidR="00EE54DF">
              <w:rPr>
                <w:noProof/>
                <w:webHidden/>
              </w:rPr>
              <w:t>4</w:t>
            </w:r>
            <w:r w:rsidR="00EE54DF">
              <w:rPr>
                <w:noProof/>
                <w:webHidden/>
              </w:rPr>
              <w:fldChar w:fldCharType="end"/>
            </w:r>
          </w:hyperlink>
        </w:p>
        <w:p w14:paraId="75BC3666" w14:textId="70EDB225" w:rsidR="00EE54DF" w:rsidRDefault="00000000">
          <w:pPr>
            <w:pStyle w:val="TOC1"/>
            <w:tabs>
              <w:tab w:val="left" w:pos="440"/>
              <w:tab w:val="right" w:leader="dot" w:pos="8296"/>
            </w:tabs>
            <w:rPr>
              <w:rFonts w:eastAsiaTheme="minorEastAsia" w:cstheme="minorBidi"/>
              <w:noProof/>
              <w:sz w:val="22"/>
              <w:szCs w:val="22"/>
            </w:rPr>
          </w:pPr>
          <w:hyperlink w:anchor="_Toc51515067" w:history="1">
            <w:r w:rsidR="00EE54DF" w:rsidRPr="00AD1F0E">
              <w:rPr>
                <w:rStyle w:val="Hyperlink"/>
                <w:rFonts w:eastAsiaTheme="majorEastAsia"/>
                <w:noProof/>
              </w:rPr>
              <w:t>2.</w:t>
            </w:r>
            <w:r w:rsidR="00EE54DF">
              <w:rPr>
                <w:rFonts w:eastAsiaTheme="minorEastAsia" w:cstheme="minorBidi"/>
                <w:noProof/>
                <w:sz w:val="22"/>
                <w:szCs w:val="22"/>
              </w:rPr>
              <w:tab/>
            </w:r>
            <w:r w:rsidR="00EE54DF" w:rsidRPr="00AD1F0E">
              <w:rPr>
                <w:rStyle w:val="Hyperlink"/>
                <w:rFonts w:eastAsiaTheme="majorEastAsia"/>
                <w:noProof/>
              </w:rPr>
              <w:t>LAWFUL BASIS FOR PROCESSING PERSONAL INFORMATION</w:t>
            </w:r>
            <w:r w:rsidR="00EE54DF">
              <w:rPr>
                <w:noProof/>
                <w:webHidden/>
              </w:rPr>
              <w:tab/>
            </w:r>
            <w:r w:rsidR="00EE54DF">
              <w:rPr>
                <w:noProof/>
                <w:webHidden/>
              </w:rPr>
              <w:fldChar w:fldCharType="begin"/>
            </w:r>
            <w:r w:rsidR="00EE54DF">
              <w:rPr>
                <w:noProof/>
                <w:webHidden/>
              </w:rPr>
              <w:instrText xml:space="preserve"> PAGEREF _Toc51515067 \h </w:instrText>
            </w:r>
            <w:r w:rsidR="00EE54DF">
              <w:rPr>
                <w:noProof/>
                <w:webHidden/>
              </w:rPr>
            </w:r>
            <w:r w:rsidR="00EE54DF">
              <w:rPr>
                <w:noProof/>
                <w:webHidden/>
              </w:rPr>
              <w:fldChar w:fldCharType="separate"/>
            </w:r>
            <w:r w:rsidR="00EE54DF">
              <w:rPr>
                <w:noProof/>
                <w:webHidden/>
              </w:rPr>
              <w:t>5</w:t>
            </w:r>
            <w:r w:rsidR="00EE54DF">
              <w:rPr>
                <w:noProof/>
                <w:webHidden/>
              </w:rPr>
              <w:fldChar w:fldCharType="end"/>
            </w:r>
          </w:hyperlink>
        </w:p>
        <w:p w14:paraId="507FD007" w14:textId="3E6FBD29" w:rsidR="00EE54DF" w:rsidRDefault="00000000">
          <w:pPr>
            <w:pStyle w:val="TOC1"/>
            <w:tabs>
              <w:tab w:val="left" w:pos="440"/>
              <w:tab w:val="right" w:leader="dot" w:pos="8296"/>
            </w:tabs>
            <w:rPr>
              <w:rFonts w:eastAsiaTheme="minorEastAsia" w:cstheme="minorBidi"/>
              <w:noProof/>
              <w:sz w:val="22"/>
              <w:szCs w:val="22"/>
            </w:rPr>
          </w:pPr>
          <w:hyperlink w:anchor="_Toc51515068" w:history="1">
            <w:r w:rsidR="00EE54DF" w:rsidRPr="00AD1F0E">
              <w:rPr>
                <w:rStyle w:val="Hyperlink"/>
                <w:rFonts w:eastAsiaTheme="majorEastAsia"/>
                <w:noProof/>
              </w:rPr>
              <w:t>3.</w:t>
            </w:r>
            <w:r w:rsidR="00EE54DF">
              <w:rPr>
                <w:rFonts w:eastAsiaTheme="minorEastAsia" w:cstheme="minorBidi"/>
                <w:noProof/>
                <w:sz w:val="22"/>
                <w:szCs w:val="22"/>
              </w:rPr>
              <w:tab/>
            </w:r>
            <w:r w:rsidR="00EE54DF" w:rsidRPr="00AD1F0E">
              <w:rPr>
                <w:rStyle w:val="Hyperlink"/>
                <w:rFonts w:eastAsiaTheme="majorEastAsia"/>
                <w:noProof/>
              </w:rPr>
              <w:t>INFORMATION ASSETS</w:t>
            </w:r>
            <w:r w:rsidR="00EE54DF">
              <w:rPr>
                <w:noProof/>
                <w:webHidden/>
              </w:rPr>
              <w:tab/>
            </w:r>
            <w:r w:rsidR="00EE54DF">
              <w:rPr>
                <w:noProof/>
                <w:webHidden/>
              </w:rPr>
              <w:fldChar w:fldCharType="begin"/>
            </w:r>
            <w:r w:rsidR="00EE54DF">
              <w:rPr>
                <w:noProof/>
                <w:webHidden/>
              </w:rPr>
              <w:instrText xml:space="preserve"> PAGEREF _Toc51515068 \h </w:instrText>
            </w:r>
            <w:r w:rsidR="00EE54DF">
              <w:rPr>
                <w:noProof/>
                <w:webHidden/>
              </w:rPr>
            </w:r>
            <w:r w:rsidR="00EE54DF">
              <w:rPr>
                <w:noProof/>
                <w:webHidden/>
              </w:rPr>
              <w:fldChar w:fldCharType="separate"/>
            </w:r>
            <w:r w:rsidR="00EE54DF">
              <w:rPr>
                <w:noProof/>
                <w:webHidden/>
              </w:rPr>
              <w:t>6</w:t>
            </w:r>
            <w:r w:rsidR="00EE54DF">
              <w:rPr>
                <w:noProof/>
                <w:webHidden/>
              </w:rPr>
              <w:fldChar w:fldCharType="end"/>
            </w:r>
          </w:hyperlink>
        </w:p>
        <w:p w14:paraId="525C88D0" w14:textId="1AD07446" w:rsidR="00EE54DF" w:rsidRDefault="00000000">
          <w:pPr>
            <w:pStyle w:val="TOC1"/>
            <w:tabs>
              <w:tab w:val="left" w:pos="440"/>
              <w:tab w:val="right" w:leader="dot" w:pos="8296"/>
            </w:tabs>
            <w:rPr>
              <w:rFonts w:eastAsiaTheme="minorEastAsia" w:cstheme="minorBidi"/>
              <w:noProof/>
              <w:sz w:val="22"/>
              <w:szCs w:val="22"/>
            </w:rPr>
          </w:pPr>
          <w:hyperlink w:anchor="_Toc51515069" w:history="1">
            <w:r w:rsidR="00EE54DF" w:rsidRPr="00AD1F0E">
              <w:rPr>
                <w:rStyle w:val="Hyperlink"/>
                <w:rFonts w:eastAsiaTheme="majorEastAsia"/>
                <w:noProof/>
              </w:rPr>
              <w:t>4.</w:t>
            </w:r>
            <w:r w:rsidR="00EE54DF">
              <w:rPr>
                <w:rFonts w:eastAsiaTheme="minorEastAsia" w:cstheme="minorBidi"/>
                <w:noProof/>
                <w:sz w:val="22"/>
                <w:szCs w:val="22"/>
              </w:rPr>
              <w:tab/>
            </w:r>
            <w:r w:rsidR="00EE54DF" w:rsidRPr="00AD1F0E">
              <w:rPr>
                <w:rStyle w:val="Hyperlink"/>
                <w:rFonts w:eastAsiaTheme="majorEastAsia"/>
                <w:noProof/>
              </w:rPr>
              <w:t>PERSONAL DATA PRIVACY NOTICES</w:t>
            </w:r>
            <w:r w:rsidR="00EE54DF">
              <w:rPr>
                <w:noProof/>
                <w:webHidden/>
              </w:rPr>
              <w:tab/>
            </w:r>
            <w:r w:rsidR="00EE54DF">
              <w:rPr>
                <w:noProof/>
                <w:webHidden/>
              </w:rPr>
              <w:fldChar w:fldCharType="begin"/>
            </w:r>
            <w:r w:rsidR="00EE54DF">
              <w:rPr>
                <w:noProof/>
                <w:webHidden/>
              </w:rPr>
              <w:instrText xml:space="preserve"> PAGEREF _Toc51515069 \h </w:instrText>
            </w:r>
            <w:r w:rsidR="00EE54DF">
              <w:rPr>
                <w:noProof/>
                <w:webHidden/>
              </w:rPr>
            </w:r>
            <w:r w:rsidR="00EE54DF">
              <w:rPr>
                <w:noProof/>
                <w:webHidden/>
              </w:rPr>
              <w:fldChar w:fldCharType="separate"/>
            </w:r>
            <w:r w:rsidR="00EE54DF">
              <w:rPr>
                <w:noProof/>
                <w:webHidden/>
              </w:rPr>
              <w:t>6</w:t>
            </w:r>
            <w:r w:rsidR="00EE54DF">
              <w:rPr>
                <w:noProof/>
                <w:webHidden/>
              </w:rPr>
              <w:fldChar w:fldCharType="end"/>
            </w:r>
          </w:hyperlink>
        </w:p>
        <w:p w14:paraId="42F97F76" w14:textId="10397213" w:rsidR="00EE54DF" w:rsidRDefault="00000000">
          <w:pPr>
            <w:pStyle w:val="TOC1"/>
            <w:tabs>
              <w:tab w:val="left" w:pos="440"/>
              <w:tab w:val="right" w:leader="dot" w:pos="8296"/>
            </w:tabs>
            <w:rPr>
              <w:rFonts w:eastAsiaTheme="minorEastAsia" w:cstheme="minorBidi"/>
              <w:noProof/>
              <w:sz w:val="22"/>
              <w:szCs w:val="22"/>
            </w:rPr>
          </w:pPr>
          <w:hyperlink w:anchor="_Toc51515070" w:history="1">
            <w:r w:rsidR="00EE54DF" w:rsidRPr="00AD1F0E">
              <w:rPr>
                <w:rStyle w:val="Hyperlink"/>
                <w:rFonts w:eastAsiaTheme="majorEastAsia"/>
                <w:noProof/>
              </w:rPr>
              <w:t>5.</w:t>
            </w:r>
            <w:r w:rsidR="00EE54DF">
              <w:rPr>
                <w:rFonts w:eastAsiaTheme="minorEastAsia" w:cstheme="minorBidi"/>
                <w:noProof/>
                <w:sz w:val="22"/>
                <w:szCs w:val="22"/>
              </w:rPr>
              <w:tab/>
            </w:r>
            <w:r w:rsidR="00EE54DF" w:rsidRPr="00AD1F0E">
              <w:rPr>
                <w:rStyle w:val="Hyperlink"/>
                <w:rFonts w:eastAsiaTheme="majorEastAsia"/>
                <w:noProof/>
              </w:rPr>
              <w:t>DATA MINIMISATION</w:t>
            </w:r>
            <w:r w:rsidR="00EE54DF">
              <w:rPr>
                <w:noProof/>
                <w:webHidden/>
              </w:rPr>
              <w:tab/>
            </w:r>
            <w:r w:rsidR="00EE54DF">
              <w:rPr>
                <w:noProof/>
                <w:webHidden/>
              </w:rPr>
              <w:fldChar w:fldCharType="begin"/>
            </w:r>
            <w:r w:rsidR="00EE54DF">
              <w:rPr>
                <w:noProof/>
                <w:webHidden/>
              </w:rPr>
              <w:instrText xml:space="preserve"> PAGEREF _Toc51515070 \h </w:instrText>
            </w:r>
            <w:r w:rsidR="00EE54DF">
              <w:rPr>
                <w:noProof/>
                <w:webHidden/>
              </w:rPr>
            </w:r>
            <w:r w:rsidR="00EE54DF">
              <w:rPr>
                <w:noProof/>
                <w:webHidden/>
              </w:rPr>
              <w:fldChar w:fldCharType="separate"/>
            </w:r>
            <w:r w:rsidR="00EE54DF">
              <w:rPr>
                <w:noProof/>
                <w:webHidden/>
              </w:rPr>
              <w:t>6</w:t>
            </w:r>
            <w:r w:rsidR="00EE54DF">
              <w:rPr>
                <w:noProof/>
                <w:webHidden/>
              </w:rPr>
              <w:fldChar w:fldCharType="end"/>
            </w:r>
          </w:hyperlink>
        </w:p>
        <w:p w14:paraId="789B9AEB" w14:textId="37E7272E" w:rsidR="00EE54DF" w:rsidRDefault="00000000">
          <w:pPr>
            <w:pStyle w:val="TOC1"/>
            <w:tabs>
              <w:tab w:val="left" w:pos="440"/>
              <w:tab w:val="right" w:leader="dot" w:pos="8296"/>
            </w:tabs>
            <w:rPr>
              <w:rFonts w:eastAsiaTheme="minorEastAsia" w:cstheme="minorBidi"/>
              <w:noProof/>
              <w:sz w:val="22"/>
              <w:szCs w:val="22"/>
            </w:rPr>
          </w:pPr>
          <w:hyperlink w:anchor="_Toc51515071" w:history="1">
            <w:r w:rsidR="00EE54DF" w:rsidRPr="00AD1F0E">
              <w:rPr>
                <w:rStyle w:val="Hyperlink"/>
                <w:rFonts w:eastAsiaTheme="majorEastAsia"/>
                <w:noProof/>
              </w:rPr>
              <w:t>6.</w:t>
            </w:r>
            <w:r w:rsidR="00EE54DF">
              <w:rPr>
                <w:rFonts w:eastAsiaTheme="minorEastAsia" w:cstheme="minorBidi"/>
                <w:noProof/>
                <w:sz w:val="22"/>
                <w:szCs w:val="22"/>
              </w:rPr>
              <w:tab/>
            </w:r>
            <w:r w:rsidR="00EE54DF" w:rsidRPr="00AD1F0E">
              <w:rPr>
                <w:rStyle w:val="Hyperlink"/>
                <w:rFonts w:eastAsiaTheme="majorEastAsia"/>
                <w:noProof/>
              </w:rPr>
              <w:t>ACCURACY</w:t>
            </w:r>
            <w:r w:rsidR="00EE54DF">
              <w:rPr>
                <w:noProof/>
                <w:webHidden/>
              </w:rPr>
              <w:tab/>
            </w:r>
            <w:r w:rsidR="00EE54DF">
              <w:rPr>
                <w:noProof/>
                <w:webHidden/>
              </w:rPr>
              <w:fldChar w:fldCharType="begin"/>
            </w:r>
            <w:r w:rsidR="00EE54DF">
              <w:rPr>
                <w:noProof/>
                <w:webHidden/>
              </w:rPr>
              <w:instrText xml:space="preserve"> PAGEREF _Toc51515071 \h </w:instrText>
            </w:r>
            <w:r w:rsidR="00EE54DF">
              <w:rPr>
                <w:noProof/>
                <w:webHidden/>
              </w:rPr>
            </w:r>
            <w:r w:rsidR="00EE54DF">
              <w:rPr>
                <w:noProof/>
                <w:webHidden/>
              </w:rPr>
              <w:fldChar w:fldCharType="separate"/>
            </w:r>
            <w:r w:rsidR="00EE54DF">
              <w:rPr>
                <w:noProof/>
                <w:webHidden/>
              </w:rPr>
              <w:t>6</w:t>
            </w:r>
            <w:r w:rsidR="00EE54DF">
              <w:rPr>
                <w:noProof/>
                <w:webHidden/>
              </w:rPr>
              <w:fldChar w:fldCharType="end"/>
            </w:r>
          </w:hyperlink>
        </w:p>
        <w:p w14:paraId="04932D66" w14:textId="53A9566A" w:rsidR="00EE54DF" w:rsidRDefault="00000000">
          <w:pPr>
            <w:pStyle w:val="TOC1"/>
            <w:tabs>
              <w:tab w:val="left" w:pos="440"/>
              <w:tab w:val="right" w:leader="dot" w:pos="8296"/>
            </w:tabs>
            <w:rPr>
              <w:rFonts w:eastAsiaTheme="minorEastAsia" w:cstheme="minorBidi"/>
              <w:noProof/>
              <w:sz w:val="22"/>
              <w:szCs w:val="22"/>
            </w:rPr>
          </w:pPr>
          <w:hyperlink w:anchor="_Toc51515072" w:history="1">
            <w:r w:rsidR="00EE54DF" w:rsidRPr="00AD1F0E">
              <w:rPr>
                <w:rStyle w:val="Hyperlink"/>
                <w:rFonts w:eastAsiaTheme="majorEastAsia"/>
                <w:noProof/>
              </w:rPr>
              <w:t>7.</w:t>
            </w:r>
            <w:r w:rsidR="00EE54DF">
              <w:rPr>
                <w:rFonts w:eastAsiaTheme="minorEastAsia" w:cstheme="minorBidi"/>
                <w:noProof/>
                <w:sz w:val="22"/>
                <w:szCs w:val="22"/>
              </w:rPr>
              <w:tab/>
            </w:r>
            <w:r w:rsidR="00EE54DF" w:rsidRPr="00AD1F0E">
              <w:rPr>
                <w:rStyle w:val="Hyperlink"/>
                <w:rFonts w:eastAsiaTheme="majorEastAsia"/>
                <w:noProof/>
              </w:rPr>
              <w:t>DATA BREACHES</w:t>
            </w:r>
            <w:r w:rsidR="00EE54DF">
              <w:rPr>
                <w:noProof/>
                <w:webHidden/>
              </w:rPr>
              <w:tab/>
            </w:r>
            <w:r w:rsidR="00EE54DF">
              <w:rPr>
                <w:noProof/>
                <w:webHidden/>
              </w:rPr>
              <w:fldChar w:fldCharType="begin"/>
            </w:r>
            <w:r w:rsidR="00EE54DF">
              <w:rPr>
                <w:noProof/>
                <w:webHidden/>
              </w:rPr>
              <w:instrText xml:space="preserve"> PAGEREF _Toc51515072 \h </w:instrText>
            </w:r>
            <w:r w:rsidR="00EE54DF">
              <w:rPr>
                <w:noProof/>
                <w:webHidden/>
              </w:rPr>
            </w:r>
            <w:r w:rsidR="00EE54DF">
              <w:rPr>
                <w:noProof/>
                <w:webHidden/>
              </w:rPr>
              <w:fldChar w:fldCharType="separate"/>
            </w:r>
            <w:r w:rsidR="00EE54DF">
              <w:rPr>
                <w:noProof/>
                <w:webHidden/>
              </w:rPr>
              <w:t>7</w:t>
            </w:r>
            <w:r w:rsidR="00EE54DF">
              <w:rPr>
                <w:noProof/>
                <w:webHidden/>
              </w:rPr>
              <w:fldChar w:fldCharType="end"/>
            </w:r>
          </w:hyperlink>
        </w:p>
        <w:p w14:paraId="1D4157A2" w14:textId="0D3FE74C" w:rsidR="00EE54DF" w:rsidRDefault="00000000">
          <w:pPr>
            <w:pStyle w:val="TOC1"/>
            <w:tabs>
              <w:tab w:val="left" w:pos="440"/>
              <w:tab w:val="right" w:leader="dot" w:pos="8296"/>
            </w:tabs>
            <w:rPr>
              <w:rFonts w:eastAsiaTheme="minorEastAsia" w:cstheme="minorBidi"/>
              <w:noProof/>
              <w:sz w:val="22"/>
              <w:szCs w:val="22"/>
            </w:rPr>
          </w:pPr>
          <w:hyperlink w:anchor="_Toc51515073" w:history="1">
            <w:r w:rsidR="00EE54DF" w:rsidRPr="00AD1F0E">
              <w:rPr>
                <w:rStyle w:val="Hyperlink"/>
                <w:rFonts w:eastAsiaTheme="majorEastAsia"/>
                <w:noProof/>
              </w:rPr>
              <w:t>8.</w:t>
            </w:r>
            <w:r w:rsidR="00EE54DF">
              <w:rPr>
                <w:rFonts w:eastAsiaTheme="minorEastAsia" w:cstheme="minorBidi"/>
                <w:noProof/>
                <w:sz w:val="22"/>
                <w:szCs w:val="22"/>
              </w:rPr>
              <w:tab/>
            </w:r>
            <w:r w:rsidR="00EE54DF" w:rsidRPr="00AD1F0E">
              <w:rPr>
                <w:rStyle w:val="Hyperlink"/>
                <w:rFonts w:eastAsiaTheme="majorEastAsia"/>
                <w:noProof/>
              </w:rPr>
              <w:t>STORAGE LIMITATION</w:t>
            </w:r>
            <w:r w:rsidR="00EE54DF">
              <w:rPr>
                <w:noProof/>
                <w:webHidden/>
              </w:rPr>
              <w:tab/>
            </w:r>
            <w:r w:rsidR="00EE54DF">
              <w:rPr>
                <w:noProof/>
                <w:webHidden/>
              </w:rPr>
              <w:fldChar w:fldCharType="begin"/>
            </w:r>
            <w:r w:rsidR="00EE54DF">
              <w:rPr>
                <w:noProof/>
                <w:webHidden/>
              </w:rPr>
              <w:instrText xml:space="preserve"> PAGEREF _Toc51515073 \h </w:instrText>
            </w:r>
            <w:r w:rsidR="00EE54DF">
              <w:rPr>
                <w:noProof/>
                <w:webHidden/>
              </w:rPr>
            </w:r>
            <w:r w:rsidR="00EE54DF">
              <w:rPr>
                <w:noProof/>
                <w:webHidden/>
              </w:rPr>
              <w:fldChar w:fldCharType="separate"/>
            </w:r>
            <w:r w:rsidR="00EE54DF">
              <w:rPr>
                <w:noProof/>
                <w:webHidden/>
              </w:rPr>
              <w:t>7</w:t>
            </w:r>
            <w:r w:rsidR="00EE54DF">
              <w:rPr>
                <w:noProof/>
                <w:webHidden/>
              </w:rPr>
              <w:fldChar w:fldCharType="end"/>
            </w:r>
          </w:hyperlink>
        </w:p>
        <w:p w14:paraId="6ECB9074" w14:textId="72FF2DAC" w:rsidR="00EE54DF" w:rsidRDefault="00000000">
          <w:pPr>
            <w:pStyle w:val="TOC1"/>
            <w:tabs>
              <w:tab w:val="left" w:pos="440"/>
              <w:tab w:val="right" w:leader="dot" w:pos="8296"/>
            </w:tabs>
            <w:rPr>
              <w:rFonts w:eastAsiaTheme="minorEastAsia" w:cstheme="minorBidi"/>
              <w:noProof/>
              <w:sz w:val="22"/>
              <w:szCs w:val="22"/>
            </w:rPr>
          </w:pPr>
          <w:hyperlink w:anchor="_Toc51515074" w:history="1">
            <w:r w:rsidR="00EE54DF" w:rsidRPr="00AD1F0E">
              <w:rPr>
                <w:rStyle w:val="Hyperlink"/>
                <w:rFonts w:eastAsiaTheme="majorEastAsia"/>
                <w:noProof/>
              </w:rPr>
              <w:t>9.</w:t>
            </w:r>
            <w:r w:rsidR="00EE54DF">
              <w:rPr>
                <w:rFonts w:eastAsiaTheme="minorEastAsia" w:cstheme="minorBidi"/>
                <w:noProof/>
                <w:sz w:val="22"/>
                <w:szCs w:val="22"/>
              </w:rPr>
              <w:tab/>
            </w:r>
            <w:r w:rsidR="00EE54DF" w:rsidRPr="00AD1F0E">
              <w:rPr>
                <w:rStyle w:val="Hyperlink"/>
                <w:rFonts w:eastAsiaTheme="majorEastAsia"/>
                <w:noProof/>
              </w:rPr>
              <w:t>PURPOSE LIMITATION</w:t>
            </w:r>
            <w:r w:rsidR="00EE54DF">
              <w:rPr>
                <w:noProof/>
                <w:webHidden/>
              </w:rPr>
              <w:tab/>
            </w:r>
            <w:r w:rsidR="00EE54DF">
              <w:rPr>
                <w:noProof/>
                <w:webHidden/>
              </w:rPr>
              <w:fldChar w:fldCharType="begin"/>
            </w:r>
            <w:r w:rsidR="00EE54DF">
              <w:rPr>
                <w:noProof/>
                <w:webHidden/>
              </w:rPr>
              <w:instrText xml:space="preserve"> PAGEREF _Toc51515074 \h </w:instrText>
            </w:r>
            <w:r w:rsidR="00EE54DF">
              <w:rPr>
                <w:noProof/>
                <w:webHidden/>
              </w:rPr>
            </w:r>
            <w:r w:rsidR="00EE54DF">
              <w:rPr>
                <w:noProof/>
                <w:webHidden/>
              </w:rPr>
              <w:fldChar w:fldCharType="separate"/>
            </w:r>
            <w:r w:rsidR="00EE54DF">
              <w:rPr>
                <w:noProof/>
                <w:webHidden/>
              </w:rPr>
              <w:t>7</w:t>
            </w:r>
            <w:r w:rsidR="00EE54DF">
              <w:rPr>
                <w:noProof/>
                <w:webHidden/>
              </w:rPr>
              <w:fldChar w:fldCharType="end"/>
            </w:r>
          </w:hyperlink>
        </w:p>
        <w:p w14:paraId="1271B199" w14:textId="1300CEB9" w:rsidR="00EE54DF" w:rsidRDefault="00000000">
          <w:pPr>
            <w:pStyle w:val="TOC1"/>
            <w:tabs>
              <w:tab w:val="left" w:pos="660"/>
              <w:tab w:val="right" w:leader="dot" w:pos="8296"/>
            </w:tabs>
            <w:rPr>
              <w:rFonts w:eastAsiaTheme="minorEastAsia" w:cstheme="minorBidi"/>
              <w:noProof/>
              <w:sz w:val="22"/>
              <w:szCs w:val="22"/>
            </w:rPr>
          </w:pPr>
          <w:hyperlink w:anchor="_Toc51515075" w:history="1">
            <w:r w:rsidR="00EE54DF" w:rsidRPr="00AD1F0E">
              <w:rPr>
                <w:rStyle w:val="Hyperlink"/>
                <w:rFonts w:eastAsiaTheme="majorEastAsia"/>
                <w:noProof/>
              </w:rPr>
              <w:t>10.</w:t>
            </w:r>
            <w:r w:rsidR="00EE54DF">
              <w:rPr>
                <w:rFonts w:eastAsiaTheme="minorEastAsia" w:cstheme="minorBidi"/>
                <w:noProof/>
                <w:sz w:val="22"/>
                <w:szCs w:val="22"/>
              </w:rPr>
              <w:tab/>
            </w:r>
            <w:r w:rsidR="00EE54DF" w:rsidRPr="00AD1F0E">
              <w:rPr>
                <w:rStyle w:val="Hyperlink"/>
                <w:rFonts w:eastAsiaTheme="majorEastAsia"/>
                <w:noProof/>
              </w:rPr>
              <w:t>INTEGRITY, CONFIDENTIALITY AND AVAILABILITY</w:t>
            </w:r>
            <w:r w:rsidR="00EE54DF">
              <w:rPr>
                <w:noProof/>
                <w:webHidden/>
              </w:rPr>
              <w:tab/>
            </w:r>
            <w:r w:rsidR="00EE54DF">
              <w:rPr>
                <w:noProof/>
                <w:webHidden/>
              </w:rPr>
              <w:fldChar w:fldCharType="begin"/>
            </w:r>
            <w:r w:rsidR="00EE54DF">
              <w:rPr>
                <w:noProof/>
                <w:webHidden/>
              </w:rPr>
              <w:instrText xml:space="preserve"> PAGEREF _Toc51515075 \h </w:instrText>
            </w:r>
            <w:r w:rsidR="00EE54DF">
              <w:rPr>
                <w:noProof/>
                <w:webHidden/>
              </w:rPr>
            </w:r>
            <w:r w:rsidR="00EE54DF">
              <w:rPr>
                <w:noProof/>
                <w:webHidden/>
              </w:rPr>
              <w:fldChar w:fldCharType="separate"/>
            </w:r>
            <w:r w:rsidR="00EE54DF">
              <w:rPr>
                <w:noProof/>
                <w:webHidden/>
              </w:rPr>
              <w:t>7</w:t>
            </w:r>
            <w:r w:rsidR="00EE54DF">
              <w:rPr>
                <w:noProof/>
                <w:webHidden/>
              </w:rPr>
              <w:fldChar w:fldCharType="end"/>
            </w:r>
          </w:hyperlink>
        </w:p>
        <w:p w14:paraId="2EB6ED03" w14:textId="2ED97E11" w:rsidR="00EE54DF" w:rsidRDefault="00000000">
          <w:pPr>
            <w:pStyle w:val="TOC1"/>
            <w:tabs>
              <w:tab w:val="left" w:pos="660"/>
              <w:tab w:val="right" w:leader="dot" w:pos="8296"/>
            </w:tabs>
            <w:rPr>
              <w:rFonts w:eastAsiaTheme="minorEastAsia" w:cstheme="minorBidi"/>
              <w:noProof/>
              <w:sz w:val="22"/>
              <w:szCs w:val="22"/>
            </w:rPr>
          </w:pPr>
          <w:hyperlink w:anchor="_Toc51515076" w:history="1">
            <w:r w:rsidR="00EE54DF" w:rsidRPr="00AD1F0E">
              <w:rPr>
                <w:rStyle w:val="Hyperlink"/>
                <w:rFonts w:eastAsiaTheme="majorEastAsia"/>
                <w:noProof/>
              </w:rPr>
              <w:t>11.</w:t>
            </w:r>
            <w:r w:rsidR="00EE54DF">
              <w:rPr>
                <w:rFonts w:eastAsiaTheme="minorEastAsia" w:cstheme="minorBidi"/>
                <w:noProof/>
                <w:sz w:val="22"/>
                <w:szCs w:val="22"/>
              </w:rPr>
              <w:tab/>
            </w:r>
            <w:r w:rsidR="00EE54DF" w:rsidRPr="00AD1F0E">
              <w:rPr>
                <w:rStyle w:val="Hyperlink"/>
                <w:rFonts w:eastAsiaTheme="majorEastAsia"/>
                <w:noProof/>
              </w:rPr>
              <w:t>INFORMATION SHARING</w:t>
            </w:r>
            <w:r w:rsidR="00EE54DF">
              <w:rPr>
                <w:noProof/>
                <w:webHidden/>
              </w:rPr>
              <w:tab/>
            </w:r>
            <w:r w:rsidR="00EE54DF">
              <w:rPr>
                <w:noProof/>
                <w:webHidden/>
              </w:rPr>
              <w:fldChar w:fldCharType="begin"/>
            </w:r>
            <w:r w:rsidR="00EE54DF">
              <w:rPr>
                <w:noProof/>
                <w:webHidden/>
              </w:rPr>
              <w:instrText xml:space="preserve"> PAGEREF _Toc51515076 \h </w:instrText>
            </w:r>
            <w:r w:rsidR="00EE54DF">
              <w:rPr>
                <w:noProof/>
                <w:webHidden/>
              </w:rPr>
            </w:r>
            <w:r w:rsidR="00EE54DF">
              <w:rPr>
                <w:noProof/>
                <w:webHidden/>
              </w:rPr>
              <w:fldChar w:fldCharType="separate"/>
            </w:r>
            <w:r w:rsidR="00EE54DF">
              <w:rPr>
                <w:noProof/>
                <w:webHidden/>
              </w:rPr>
              <w:t>7</w:t>
            </w:r>
            <w:r w:rsidR="00EE54DF">
              <w:rPr>
                <w:noProof/>
                <w:webHidden/>
              </w:rPr>
              <w:fldChar w:fldCharType="end"/>
            </w:r>
          </w:hyperlink>
        </w:p>
        <w:p w14:paraId="3AAF48EF" w14:textId="5816582B" w:rsidR="00EE54DF" w:rsidRDefault="00000000">
          <w:pPr>
            <w:pStyle w:val="TOC1"/>
            <w:tabs>
              <w:tab w:val="left" w:pos="660"/>
              <w:tab w:val="right" w:leader="dot" w:pos="8296"/>
            </w:tabs>
            <w:rPr>
              <w:rFonts w:eastAsiaTheme="minorEastAsia" w:cstheme="minorBidi"/>
              <w:noProof/>
              <w:sz w:val="22"/>
              <w:szCs w:val="22"/>
            </w:rPr>
          </w:pPr>
          <w:hyperlink w:anchor="_Toc51515077" w:history="1">
            <w:r w:rsidR="00EE54DF" w:rsidRPr="00AD1F0E">
              <w:rPr>
                <w:rStyle w:val="Hyperlink"/>
                <w:rFonts w:eastAsiaTheme="majorEastAsia"/>
                <w:noProof/>
              </w:rPr>
              <w:t>12.</w:t>
            </w:r>
            <w:r w:rsidR="00EE54DF">
              <w:rPr>
                <w:rFonts w:eastAsiaTheme="minorEastAsia" w:cstheme="minorBidi"/>
                <w:noProof/>
                <w:sz w:val="22"/>
                <w:szCs w:val="22"/>
              </w:rPr>
              <w:tab/>
            </w:r>
            <w:r w:rsidR="00EE54DF" w:rsidRPr="00AD1F0E">
              <w:rPr>
                <w:rStyle w:val="Hyperlink"/>
                <w:rFonts w:eastAsiaTheme="majorEastAsia"/>
                <w:noProof/>
              </w:rPr>
              <w:t>MONITORING</w:t>
            </w:r>
            <w:r w:rsidR="00EE54DF">
              <w:rPr>
                <w:noProof/>
                <w:webHidden/>
              </w:rPr>
              <w:tab/>
            </w:r>
            <w:r w:rsidR="00EE54DF">
              <w:rPr>
                <w:noProof/>
                <w:webHidden/>
              </w:rPr>
              <w:fldChar w:fldCharType="begin"/>
            </w:r>
            <w:r w:rsidR="00EE54DF">
              <w:rPr>
                <w:noProof/>
                <w:webHidden/>
              </w:rPr>
              <w:instrText xml:space="preserve"> PAGEREF _Toc51515077 \h </w:instrText>
            </w:r>
            <w:r w:rsidR="00EE54DF">
              <w:rPr>
                <w:noProof/>
                <w:webHidden/>
              </w:rPr>
            </w:r>
            <w:r w:rsidR="00EE54DF">
              <w:rPr>
                <w:noProof/>
                <w:webHidden/>
              </w:rPr>
              <w:fldChar w:fldCharType="separate"/>
            </w:r>
            <w:r w:rsidR="00EE54DF">
              <w:rPr>
                <w:noProof/>
                <w:webHidden/>
              </w:rPr>
              <w:t>9</w:t>
            </w:r>
            <w:r w:rsidR="00EE54DF">
              <w:rPr>
                <w:noProof/>
                <w:webHidden/>
              </w:rPr>
              <w:fldChar w:fldCharType="end"/>
            </w:r>
          </w:hyperlink>
        </w:p>
        <w:p w14:paraId="718DBF2E" w14:textId="41109EEB" w:rsidR="00EE54DF" w:rsidRDefault="00000000">
          <w:pPr>
            <w:pStyle w:val="TOC1"/>
            <w:tabs>
              <w:tab w:val="left" w:pos="660"/>
              <w:tab w:val="right" w:leader="dot" w:pos="8296"/>
            </w:tabs>
            <w:rPr>
              <w:rFonts w:eastAsiaTheme="minorEastAsia" w:cstheme="minorBidi"/>
              <w:noProof/>
              <w:sz w:val="22"/>
              <w:szCs w:val="22"/>
            </w:rPr>
          </w:pPr>
          <w:hyperlink w:anchor="_Toc51515078" w:history="1">
            <w:r w:rsidR="00EE54DF" w:rsidRPr="00AD1F0E">
              <w:rPr>
                <w:rStyle w:val="Hyperlink"/>
                <w:rFonts w:eastAsiaTheme="majorEastAsia"/>
                <w:noProof/>
              </w:rPr>
              <w:t>13.</w:t>
            </w:r>
            <w:r w:rsidR="00EE54DF">
              <w:rPr>
                <w:rFonts w:eastAsiaTheme="minorEastAsia" w:cstheme="minorBidi"/>
                <w:noProof/>
                <w:sz w:val="22"/>
                <w:szCs w:val="22"/>
              </w:rPr>
              <w:tab/>
            </w:r>
            <w:r w:rsidR="00EE54DF" w:rsidRPr="00AD1F0E">
              <w:rPr>
                <w:rStyle w:val="Hyperlink"/>
                <w:rFonts w:eastAsiaTheme="majorEastAsia"/>
                <w:noProof/>
              </w:rPr>
              <w:t>DATA BREACH PROCEDURES</w:t>
            </w:r>
            <w:r w:rsidR="00EE54DF">
              <w:rPr>
                <w:noProof/>
                <w:webHidden/>
              </w:rPr>
              <w:tab/>
            </w:r>
            <w:r w:rsidR="00EE54DF">
              <w:rPr>
                <w:noProof/>
                <w:webHidden/>
              </w:rPr>
              <w:fldChar w:fldCharType="begin"/>
            </w:r>
            <w:r w:rsidR="00EE54DF">
              <w:rPr>
                <w:noProof/>
                <w:webHidden/>
              </w:rPr>
              <w:instrText xml:space="preserve"> PAGEREF _Toc51515078 \h </w:instrText>
            </w:r>
            <w:r w:rsidR="00EE54DF">
              <w:rPr>
                <w:noProof/>
                <w:webHidden/>
              </w:rPr>
            </w:r>
            <w:r w:rsidR="00EE54DF">
              <w:rPr>
                <w:noProof/>
                <w:webHidden/>
              </w:rPr>
              <w:fldChar w:fldCharType="separate"/>
            </w:r>
            <w:r w:rsidR="00EE54DF">
              <w:rPr>
                <w:noProof/>
                <w:webHidden/>
              </w:rPr>
              <w:t>9</w:t>
            </w:r>
            <w:r w:rsidR="00EE54DF">
              <w:rPr>
                <w:noProof/>
                <w:webHidden/>
              </w:rPr>
              <w:fldChar w:fldCharType="end"/>
            </w:r>
          </w:hyperlink>
        </w:p>
        <w:p w14:paraId="65EC370D" w14:textId="6C3CBD3F" w:rsidR="00EE54DF" w:rsidRDefault="00000000">
          <w:pPr>
            <w:pStyle w:val="TOC1"/>
            <w:tabs>
              <w:tab w:val="left" w:pos="660"/>
              <w:tab w:val="right" w:leader="dot" w:pos="8296"/>
            </w:tabs>
            <w:rPr>
              <w:rFonts w:eastAsiaTheme="minorEastAsia" w:cstheme="minorBidi"/>
              <w:noProof/>
              <w:sz w:val="22"/>
              <w:szCs w:val="22"/>
            </w:rPr>
          </w:pPr>
          <w:hyperlink w:anchor="_Toc51515079" w:history="1">
            <w:r w:rsidR="00EE54DF" w:rsidRPr="00AD1F0E">
              <w:rPr>
                <w:rStyle w:val="Hyperlink"/>
                <w:rFonts w:eastAsiaTheme="majorEastAsia"/>
                <w:noProof/>
              </w:rPr>
              <w:t>14.</w:t>
            </w:r>
            <w:r w:rsidR="00EE54DF">
              <w:rPr>
                <w:rFonts w:eastAsiaTheme="minorEastAsia" w:cstheme="minorBidi"/>
                <w:noProof/>
                <w:sz w:val="22"/>
                <w:szCs w:val="22"/>
              </w:rPr>
              <w:tab/>
            </w:r>
            <w:r w:rsidR="00EE54DF" w:rsidRPr="00AD1F0E">
              <w:rPr>
                <w:rStyle w:val="Hyperlink"/>
                <w:rFonts w:eastAsiaTheme="majorEastAsia"/>
                <w:noProof/>
              </w:rPr>
              <w:t>INCIDENT REPORTING</w:t>
            </w:r>
            <w:r w:rsidR="00EE54DF">
              <w:rPr>
                <w:noProof/>
                <w:webHidden/>
              </w:rPr>
              <w:tab/>
            </w:r>
            <w:r w:rsidR="00EE54DF">
              <w:rPr>
                <w:noProof/>
                <w:webHidden/>
              </w:rPr>
              <w:fldChar w:fldCharType="begin"/>
            </w:r>
            <w:r w:rsidR="00EE54DF">
              <w:rPr>
                <w:noProof/>
                <w:webHidden/>
              </w:rPr>
              <w:instrText xml:space="preserve"> PAGEREF _Toc51515079 \h </w:instrText>
            </w:r>
            <w:r w:rsidR="00EE54DF">
              <w:rPr>
                <w:noProof/>
                <w:webHidden/>
              </w:rPr>
            </w:r>
            <w:r w:rsidR="00EE54DF">
              <w:rPr>
                <w:noProof/>
                <w:webHidden/>
              </w:rPr>
              <w:fldChar w:fldCharType="separate"/>
            </w:r>
            <w:r w:rsidR="00EE54DF">
              <w:rPr>
                <w:noProof/>
                <w:webHidden/>
              </w:rPr>
              <w:t>11</w:t>
            </w:r>
            <w:r w:rsidR="00EE54DF">
              <w:rPr>
                <w:noProof/>
                <w:webHidden/>
              </w:rPr>
              <w:fldChar w:fldCharType="end"/>
            </w:r>
          </w:hyperlink>
        </w:p>
        <w:p w14:paraId="3208EAEE" w14:textId="481D5901" w:rsidR="00EE54DF" w:rsidRDefault="00000000">
          <w:pPr>
            <w:pStyle w:val="TOC1"/>
            <w:tabs>
              <w:tab w:val="left" w:pos="660"/>
              <w:tab w:val="right" w:leader="dot" w:pos="8296"/>
            </w:tabs>
            <w:rPr>
              <w:rFonts w:eastAsiaTheme="minorEastAsia" w:cstheme="minorBidi"/>
              <w:noProof/>
              <w:sz w:val="22"/>
              <w:szCs w:val="22"/>
            </w:rPr>
          </w:pPr>
          <w:hyperlink w:anchor="_Toc51515080" w:history="1">
            <w:r w:rsidR="00EE54DF" w:rsidRPr="00AD1F0E">
              <w:rPr>
                <w:rStyle w:val="Hyperlink"/>
                <w:rFonts w:eastAsiaTheme="majorEastAsia"/>
                <w:noProof/>
              </w:rPr>
              <w:t>15.</w:t>
            </w:r>
            <w:r w:rsidR="00EE54DF">
              <w:rPr>
                <w:rFonts w:eastAsiaTheme="minorEastAsia" w:cstheme="minorBidi"/>
                <w:noProof/>
                <w:sz w:val="22"/>
                <w:szCs w:val="22"/>
              </w:rPr>
              <w:tab/>
            </w:r>
            <w:r w:rsidR="00EE54DF" w:rsidRPr="00AD1F0E">
              <w:rPr>
                <w:rStyle w:val="Hyperlink"/>
                <w:rFonts w:eastAsiaTheme="majorEastAsia"/>
                <w:noProof/>
              </w:rPr>
              <w:t>TRAINING</w:t>
            </w:r>
            <w:r w:rsidR="00EE54DF">
              <w:rPr>
                <w:noProof/>
                <w:webHidden/>
              </w:rPr>
              <w:tab/>
            </w:r>
            <w:r w:rsidR="00EE54DF">
              <w:rPr>
                <w:noProof/>
                <w:webHidden/>
              </w:rPr>
              <w:fldChar w:fldCharType="begin"/>
            </w:r>
            <w:r w:rsidR="00EE54DF">
              <w:rPr>
                <w:noProof/>
                <w:webHidden/>
              </w:rPr>
              <w:instrText xml:space="preserve"> PAGEREF _Toc51515080 \h </w:instrText>
            </w:r>
            <w:r w:rsidR="00EE54DF">
              <w:rPr>
                <w:noProof/>
                <w:webHidden/>
              </w:rPr>
            </w:r>
            <w:r w:rsidR="00EE54DF">
              <w:rPr>
                <w:noProof/>
                <w:webHidden/>
              </w:rPr>
              <w:fldChar w:fldCharType="separate"/>
            </w:r>
            <w:r w:rsidR="00EE54DF">
              <w:rPr>
                <w:noProof/>
                <w:webHidden/>
              </w:rPr>
              <w:t>11</w:t>
            </w:r>
            <w:r w:rsidR="00EE54DF">
              <w:rPr>
                <w:noProof/>
                <w:webHidden/>
              </w:rPr>
              <w:fldChar w:fldCharType="end"/>
            </w:r>
          </w:hyperlink>
        </w:p>
        <w:p w14:paraId="1B2973F2" w14:textId="5542B276" w:rsidR="00EE54DF" w:rsidRDefault="00000000">
          <w:pPr>
            <w:pStyle w:val="TOC1"/>
            <w:tabs>
              <w:tab w:val="left" w:pos="660"/>
              <w:tab w:val="right" w:leader="dot" w:pos="8296"/>
            </w:tabs>
            <w:rPr>
              <w:rFonts w:eastAsiaTheme="minorEastAsia" w:cstheme="minorBidi"/>
              <w:noProof/>
              <w:sz w:val="22"/>
              <w:szCs w:val="22"/>
            </w:rPr>
          </w:pPr>
          <w:hyperlink w:anchor="_Toc51515081" w:history="1">
            <w:r w:rsidR="00EE54DF" w:rsidRPr="00AD1F0E">
              <w:rPr>
                <w:rStyle w:val="Hyperlink"/>
                <w:rFonts w:eastAsiaTheme="majorEastAsia"/>
                <w:noProof/>
              </w:rPr>
              <w:t>16.</w:t>
            </w:r>
            <w:r w:rsidR="00EE54DF">
              <w:rPr>
                <w:rFonts w:eastAsiaTheme="minorEastAsia" w:cstheme="minorBidi"/>
                <w:noProof/>
                <w:sz w:val="22"/>
                <w:szCs w:val="22"/>
              </w:rPr>
              <w:tab/>
            </w:r>
            <w:r w:rsidR="00EE54DF" w:rsidRPr="00AD1F0E">
              <w:rPr>
                <w:rStyle w:val="Hyperlink"/>
                <w:rFonts w:eastAsiaTheme="majorEastAsia"/>
                <w:noProof/>
              </w:rPr>
              <w:t>CONSEQUENCES OF A FAILURE TO COMPLY</w:t>
            </w:r>
            <w:r w:rsidR="00EE54DF">
              <w:rPr>
                <w:noProof/>
                <w:webHidden/>
              </w:rPr>
              <w:tab/>
            </w:r>
            <w:r w:rsidR="00EE54DF">
              <w:rPr>
                <w:noProof/>
                <w:webHidden/>
              </w:rPr>
              <w:fldChar w:fldCharType="begin"/>
            </w:r>
            <w:r w:rsidR="00EE54DF">
              <w:rPr>
                <w:noProof/>
                <w:webHidden/>
              </w:rPr>
              <w:instrText xml:space="preserve"> PAGEREF _Toc51515081 \h </w:instrText>
            </w:r>
            <w:r w:rsidR="00EE54DF">
              <w:rPr>
                <w:noProof/>
                <w:webHidden/>
              </w:rPr>
            </w:r>
            <w:r w:rsidR="00EE54DF">
              <w:rPr>
                <w:noProof/>
                <w:webHidden/>
              </w:rPr>
              <w:fldChar w:fldCharType="separate"/>
            </w:r>
            <w:r w:rsidR="00EE54DF">
              <w:rPr>
                <w:noProof/>
                <w:webHidden/>
              </w:rPr>
              <w:t>11</w:t>
            </w:r>
            <w:r w:rsidR="00EE54DF">
              <w:rPr>
                <w:noProof/>
                <w:webHidden/>
              </w:rPr>
              <w:fldChar w:fldCharType="end"/>
            </w:r>
          </w:hyperlink>
        </w:p>
        <w:p w14:paraId="2051C955" w14:textId="47DEE2F1" w:rsidR="00EE54DF" w:rsidRDefault="00000000">
          <w:pPr>
            <w:pStyle w:val="TOC1"/>
            <w:tabs>
              <w:tab w:val="left" w:pos="660"/>
              <w:tab w:val="right" w:leader="dot" w:pos="8296"/>
            </w:tabs>
            <w:rPr>
              <w:rFonts w:eastAsiaTheme="minorEastAsia" w:cstheme="minorBidi"/>
              <w:noProof/>
              <w:sz w:val="22"/>
              <w:szCs w:val="22"/>
            </w:rPr>
          </w:pPr>
          <w:hyperlink w:anchor="_Toc51515082" w:history="1">
            <w:r w:rsidR="00EE54DF" w:rsidRPr="00AD1F0E">
              <w:rPr>
                <w:rStyle w:val="Hyperlink"/>
                <w:rFonts w:eastAsiaTheme="majorEastAsia"/>
                <w:noProof/>
              </w:rPr>
              <w:t>17.</w:t>
            </w:r>
            <w:r w:rsidR="00EE54DF">
              <w:rPr>
                <w:rFonts w:eastAsiaTheme="minorEastAsia" w:cstheme="minorBidi"/>
                <w:noProof/>
                <w:sz w:val="22"/>
                <w:szCs w:val="22"/>
              </w:rPr>
              <w:tab/>
            </w:r>
            <w:r w:rsidR="00EE54DF" w:rsidRPr="00AD1F0E">
              <w:rPr>
                <w:rStyle w:val="Hyperlink"/>
                <w:rFonts w:eastAsiaTheme="majorEastAsia"/>
                <w:noProof/>
              </w:rPr>
              <w:t>COMPLAINTS</w:t>
            </w:r>
            <w:r w:rsidR="00EE54DF">
              <w:rPr>
                <w:noProof/>
                <w:webHidden/>
              </w:rPr>
              <w:tab/>
            </w:r>
            <w:r w:rsidR="00EE54DF">
              <w:rPr>
                <w:noProof/>
                <w:webHidden/>
              </w:rPr>
              <w:fldChar w:fldCharType="begin"/>
            </w:r>
            <w:r w:rsidR="00EE54DF">
              <w:rPr>
                <w:noProof/>
                <w:webHidden/>
              </w:rPr>
              <w:instrText xml:space="preserve"> PAGEREF _Toc51515082 \h </w:instrText>
            </w:r>
            <w:r w:rsidR="00EE54DF">
              <w:rPr>
                <w:noProof/>
                <w:webHidden/>
              </w:rPr>
            </w:r>
            <w:r w:rsidR="00EE54DF">
              <w:rPr>
                <w:noProof/>
                <w:webHidden/>
              </w:rPr>
              <w:fldChar w:fldCharType="separate"/>
            </w:r>
            <w:r w:rsidR="00EE54DF">
              <w:rPr>
                <w:noProof/>
                <w:webHidden/>
              </w:rPr>
              <w:t>11</w:t>
            </w:r>
            <w:r w:rsidR="00EE54DF">
              <w:rPr>
                <w:noProof/>
                <w:webHidden/>
              </w:rPr>
              <w:fldChar w:fldCharType="end"/>
            </w:r>
          </w:hyperlink>
        </w:p>
        <w:p w14:paraId="7CA5811D" w14:textId="795A26C7" w:rsidR="00EE54DF" w:rsidRDefault="00000000">
          <w:pPr>
            <w:pStyle w:val="TOC1"/>
            <w:tabs>
              <w:tab w:val="left" w:pos="660"/>
              <w:tab w:val="right" w:leader="dot" w:pos="8296"/>
            </w:tabs>
            <w:rPr>
              <w:rFonts w:eastAsiaTheme="minorEastAsia" w:cstheme="minorBidi"/>
              <w:noProof/>
              <w:sz w:val="22"/>
              <w:szCs w:val="22"/>
            </w:rPr>
          </w:pPr>
          <w:hyperlink w:anchor="_Toc51515083" w:history="1">
            <w:r w:rsidR="00EE54DF" w:rsidRPr="00AD1F0E">
              <w:rPr>
                <w:rStyle w:val="Hyperlink"/>
                <w:rFonts w:eastAsiaTheme="majorEastAsia"/>
                <w:noProof/>
              </w:rPr>
              <w:t>18.</w:t>
            </w:r>
            <w:r w:rsidR="00EE54DF">
              <w:rPr>
                <w:rFonts w:eastAsiaTheme="minorEastAsia" w:cstheme="minorBidi"/>
                <w:noProof/>
                <w:sz w:val="22"/>
                <w:szCs w:val="22"/>
              </w:rPr>
              <w:tab/>
            </w:r>
            <w:r w:rsidR="00EE54DF" w:rsidRPr="00AD1F0E">
              <w:rPr>
                <w:rStyle w:val="Hyperlink"/>
                <w:rFonts w:eastAsiaTheme="majorEastAsia"/>
                <w:noProof/>
              </w:rPr>
              <w:t>REVIEW</w:t>
            </w:r>
            <w:r w:rsidR="00EE54DF">
              <w:rPr>
                <w:noProof/>
                <w:webHidden/>
              </w:rPr>
              <w:tab/>
            </w:r>
            <w:r w:rsidR="00EE54DF">
              <w:rPr>
                <w:noProof/>
                <w:webHidden/>
              </w:rPr>
              <w:fldChar w:fldCharType="begin"/>
            </w:r>
            <w:r w:rsidR="00EE54DF">
              <w:rPr>
                <w:noProof/>
                <w:webHidden/>
              </w:rPr>
              <w:instrText xml:space="preserve"> PAGEREF _Toc51515083 \h </w:instrText>
            </w:r>
            <w:r w:rsidR="00EE54DF">
              <w:rPr>
                <w:noProof/>
                <w:webHidden/>
              </w:rPr>
            </w:r>
            <w:r w:rsidR="00EE54DF">
              <w:rPr>
                <w:noProof/>
                <w:webHidden/>
              </w:rPr>
              <w:fldChar w:fldCharType="separate"/>
            </w:r>
            <w:r w:rsidR="00EE54DF">
              <w:rPr>
                <w:noProof/>
                <w:webHidden/>
              </w:rPr>
              <w:t>12</w:t>
            </w:r>
            <w:r w:rsidR="00EE54DF">
              <w:rPr>
                <w:noProof/>
                <w:webHidden/>
              </w:rPr>
              <w:fldChar w:fldCharType="end"/>
            </w:r>
          </w:hyperlink>
        </w:p>
        <w:p w14:paraId="7457416C" w14:textId="49F22D82" w:rsidR="00EE54DF" w:rsidRDefault="00000000">
          <w:pPr>
            <w:pStyle w:val="TOC1"/>
            <w:tabs>
              <w:tab w:val="left" w:pos="660"/>
              <w:tab w:val="right" w:leader="dot" w:pos="8296"/>
            </w:tabs>
            <w:rPr>
              <w:rFonts w:eastAsiaTheme="minorEastAsia" w:cstheme="minorBidi"/>
              <w:noProof/>
              <w:sz w:val="22"/>
              <w:szCs w:val="22"/>
            </w:rPr>
          </w:pPr>
          <w:hyperlink w:anchor="_Toc51515084" w:history="1">
            <w:r w:rsidR="00EE54DF" w:rsidRPr="00AD1F0E">
              <w:rPr>
                <w:rStyle w:val="Hyperlink"/>
                <w:rFonts w:eastAsiaTheme="majorEastAsia"/>
                <w:noProof/>
              </w:rPr>
              <w:t>19.</w:t>
            </w:r>
            <w:r w:rsidR="00EE54DF">
              <w:rPr>
                <w:rFonts w:eastAsiaTheme="minorEastAsia" w:cstheme="minorBidi"/>
                <w:noProof/>
                <w:sz w:val="22"/>
                <w:szCs w:val="22"/>
              </w:rPr>
              <w:tab/>
            </w:r>
            <w:r w:rsidR="00EE54DF" w:rsidRPr="00AD1F0E">
              <w:rPr>
                <w:rStyle w:val="Hyperlink"/>
                <w:rFonts w:eastAsiaTheme="majorEastAsia"/>
                <w:noProof/>
              </w:rPr>
              <w:t>CONTACTS</w:t>
            </w:r>
            <w:r w:rsidR="00EE54DF">
              <w:rPr>
                <w:noProof/>
                <w:webHidden/>
              </w:rPr>
              <w:tab/>
            </w:r>
            <w:r w:rsidR="00EE54DF">
              <w:rPr>
                <w:noProof/>
                <w:webHidden/>
              </w:rPr>
              <w:fldChar w:fldCharType="begin"/>
            </w:r>
            <w:r w:rsidR="00EE54DF">
              <w:rPr>
                <w:noProof/>
                <w:webHidden/>
              </w:rPr>
              <w:instrText xml:space="preserve"> PAGEREF _Toc51515084 \h </w:instrText>
            </w:r>
            <w:r w:rsidR="00EE54DF">
              <w:rPr>
                <w:noProof/>
                <w:webHidden/>
              </w:rPr>
            </w:r>
            <w:r w:rsidR="00EE54DF">
              <w:rPr>
                <w:noProof/>
                <w:webHidden/>
              </w:rPr>
              <w:fldChar w:fldCharType="separate"/>
            </w:r>
            <w:r w:rsidR="00EE54DF">
              <w:rPr>
                <w:noProof/>
                <w:webHidden/>
              </w:rPr>
              <w:t>12</w:t>
            </w:r>
            <w:r w:rsidR="00EE54DF">
              <w:rPr>
                <w:noProof/>
                <w:webHidden/>
              </w:rPr>
              <w:fldChar w:fldCharType="end"/>
            </w:r>
          </w:hyperlink>
        </w:p>
        <w:p w14:paraId="5275D13B" w14:textId="0B4BA4AE" w:rsidR="00EE54DF" w:rsidRDefault="00000000">
          <w:pPr>
            <w:pStyle w:val="TOC1"/>
            <w:tabs>
              <w:tab w:val="right" w:leader="dot" w:pos="8296"/>
            </w:tabs>
            <w:rPr>
              <w:rFonts w:eastAsiaTheme="minorEastAsia" w:cstheme="minorBidi"/>
              <w:noProof/>
              <w:sz w:val="22"/>
              <w:szCs w:val="22"/>
            </w:rPr>
          </w:pPr>
          <w:hyperlink w:anchor="_Toc51515085" w:history="1">
            <w:r w:rsidR="00EE54DF" w:rsidRPr="00AD1F0E">
              <w:rPr>
                <w:rStyle w:val="Hyperlink"/>
                <w:rFonts w:eastAsiaTheme="majorEastAsia"/>
                <w:noProof/>
              </w:rPr>
              <w:t>APPENDIX 1- PROCEDURES FOR RESPONDING TO SUBJECT ACCESS REQUESTS MADE UNDER GDPR 2018</w:t>
            </w:r>
            <w:r w:rsidR="00EE54DF">
              <w:rPr>
                <w:noProof/>
                <w:webHidden/>
              </w:rPr>
              <w:tab/>
            </w:r>
            <w:r w:rsidR="00EE54DF">
              <w:rPr>
                <w:noProof/>
                <w:webHidden/>
              </w:rPr>
              <w:fldChar w:fldCharType="begin"/>
            </w:r>
            <w:r w:rsidR="00EE54DF">
              <w:rPr>
                <w:noProof/>
                <w:webHidden/>
              </w:rPr>
              <w:instrText xml:space="preserve"> PAGEREF _Toc51515085 \h </w:instrText>
            </w:r>
            <w:r w:rsidR="00EE54DF">
              <w:rPr>
                <w:noProof/>
                <w:webHidden/>
              </w:rPr>
            </w:r>
            <w:r w:rsidR="00EE54DF">
              <w:rPr>
                <w:noProof/>
                <w:webHidden/>
              </w:rPr>
              <w:fldChar w:fldCharType="separate"/>
            </w:r>
            <w:r w:rsidR="00EE54DF">
              <w:rPr>
                <w:noProof/>
                <w:webHidden/>
              </w:rPr>
              <w:t>13</w:t>
            </w:r>
            <w:r w:rsidR="00EE54DF">
              <w:rPr>
                <w:noProof/>
                <w:webHidden/>
              </w:rPr>
              <w:fldChar w:fldCharType="end"/>
            </w:r>
          </w:hyperlink>
        </w:p>
        <w:p w14:paraId="0CE8AE29" w14:textId="06BDD3FB" w:rsidR="00EE54DF" w:rsidRDefault="00000000">
          <w:pPr>
            <w:pStyle w:val="TOC1"/>
            <w:tabs>
              <w:tab w:val="right" w:leader="dot" w:pos="8296"/>
            </w:tabs>
            <w:rPr>
              <w:rFonts w:eastAsiaTheme="minorEastAsia" w:cstheme="minorBidi"/>
              <w:noProof/>
              <w:sz w:val="22"/>
              <w:szCs w:val="22"/>
            </w:rPr>
          </w:pPr>
          <w:hyperlink w:anchor="_Toc51515086" w:history="1">
            <w:r w:rsidR="00EE54DF" w:rsidRPr="00AD1F0E">
              <w:rPr>
                <w:rStyle w:val="Hyperlink"/>
                <w:rFonts w:eastAsiaTheme="majorEastAsia"/>
                <w:noProof/>
              </w:rPr>
              <w:t>Rights of access to information</w:t>
            </w:r>
            <w:r w:rsidR="00EE54DF">
              <w:rPr>
                <w:noProof/>
                <w:webHidden/>
              </w:rPr>
              <w:tab/>
            </w:r>
            <w:r w:rsidR="00EE54DF">
              <w:rPr>
                <w:noProof/>
                <w:webHidden/>
              </w:rPr>
              <w:fldChar w:fldCharType="begin"/>
            </w:r>
            <w:r w:rsidR="00EE54DF">
              <w:rPr>
                <w:noProof/>
                <w:webHidden/>
              </w:rPr>
              <w:instrText xml:space="preserve"> PAGEREF _Toc51515086 \h </w:instrText>
            </w:r>
            <w:r w:rsidR="00EE54DF">
              <w:rPr>
                <w:noProof/>
                <w:webHidden/>
              </w:rPr>
            </w:r>
            <w:r w:rsidR="00EE54DF">
              <w:rPr>
                <w:noProof/>
                <w:webHidden/>
              </w:rPr>
              <w:fldChar w:fldCharType="separate"/>
            </w:r>
            <w:r w:rsidR="00EE54DF">
              <w:rPr>
                <w:noProof/>
                <w:webHidden/>
              </w:rPr>
              <w:t>13</w:t>
            </w:r>
            <w:r w:rsidR="00EE54DF">
              <w:rPr>
                <w:noProof/>
                <w:webHidden/>
              </w:rPr>
              <w:fldChar w:fldCharType="end"/>
            </w:r>
          </w:hyperlink>
        </w:p>
        <w:p w14:paraId="556E19AF" w14:textId="0EC4BC8F" w:rsidR="00EE54DF" w:rsidRDefault="00000000">
          <w:pPr>
            <w:pStyle w:val="TOC1"/>
            <w:tabs>
              <w:tab w:val="right" w:leader="dot" w:pos="8296"/>
            </w:tabs>
            <w:rPr>
              <w:rFonts w:eastAsiaTheme="minorEastAsia" w:cstheme="minorBidi"/>
              <w:noProof/>
              <w:sz w:val="22"/>
              <w:szCs w:val="22"/>
            </w:rPr>
          </w:pPr>
          <w:hyperlink w:anchor="_Toc51515087" w:history="1">
            <w:r w:rsidR="00EE54DF" w:rsidRPr="00AD1F0E">
              <w:rPr>
                <w:rStyle w:val="Hyperlink"/>
                <w:rFonts w:eastAsiaTheme="majorEastAsia"/>
                <w:noProof/>
              </w:rPr>
              <w:t>Complying with and Actioning a Subject Access Request</w:t>
            </w:r>
            <w:r w:rsidR="00EE54DF">
              <w:rPr>
                <w:noProof/>
                <w:webHidden/>
              </w:rPr>
              <w:tab/>
            </w:r>
            <w:r w:rsidR="00EE54DF">
              <w:rPr>
                <w:noProof/>
                <w:webHidden/>
              </w:rPr>
              <w:fldChar w:fldCharType="begin"/>
            </w:r>
            <w:r w:rsidR="00EE54DF">
              <w:rPr>
                <w:noProof/>
                <w:webHidden/>
              </w:rPr>
              <w:instrText xml:space="preserve"> PAGEREF _Toc51515087 \h </w:instrText>
            </w:r>
            <w:r w:rsidR="00EE54DF">
              <w:rPr>
                <w:noProof/>
                <w:webHidden/>
              </w:rPr>
            </w:r>
            <w:r w:rsidR="00EE54DF">
              <w:rPr>
                <w:noProof/>
                <w:webHidden/>
              </w:rPr>
              <w:fldChar w:fldCharType="separate"/>
            </w:r>
            <w:r w:rsidR="00EE54DF">
              <w:rPr>
                <w:noProof/>
                <w:webHidden/>
              </w:rPr>
              <w:t>13</w:t>
            </w:r>
            <w:r w:rsidR="00EE54DF">
              <w:rPr>
                <w:noProof/>
                <w:webHidden/>
              </w:rPr>
              <w:fldChar w:fldCharType="end"/>
            </w:r>
          </w:hyperlink>
        </w:p>
        <w:p w14:paraId="7BDC30A7" w14:textId="1D29C94B" w:rsidR="00EE54DF" w:rsidRDefault="00000000">
          <w:pPr>
            <w:pStyle w:val="TOC1"/>
            <w:tabs>
              <w:tab w:val="right" w:leader="dot" w:pos="8296"/>
            </w:tabs>
            <w:rPr>
              <w:rFonts w:eastAsiaTheme="minorEastAsia" w:cstheme="minorBidi"/>
              <w:noProof/>
              <w:sz w:val="22"/>
              <w:szCs w:val="22"/>
            </w:rPr>
          </w:pPr>
          <w:hyperlink w:anchor="_Toc51515088" w:history="1">
            <w:r w:rsidR="00EE54DF" w:rsidRPr="00AD1F0E">
              <w:rPr>
                <w:rStyle w:val="Hyperlink"/>
                <w:rFonts w:eastAsiaTheme="majorEastAsia"/>
                <w:noProof/>
              </w:rPr>
              <w:t>Complaints</w:t>
            </w:r>
            <w:r w:rsidR="00EE54DF">
              <w:rPr>
                <w:noProof/>
                <w:webHidden/>
              </w:rPr>
              <w:tab/>
            </w:r>
            <w:r w:rsidR="00EE54DF">
              <w:rPr>
                <w:noProof/>
                <w:webHidden/>
              </w:rPr>
              <w:fldChar w:fldCharType="begin"/>
            </w:r>
            <w:r w:rsidR="00EE54DF">
              <w:rPr>
                <w:noProof/>
                <w:webHidden/>
              </w:rPr>
              <w:instrText xml:space="preserve"> PAGEREF _Toc51515088 \h </w:instrText>
            </w:r>
            <w:r w:rsidR="00EE54DF">
              <w:rPr>
                <w:noProof/>
                <w:webHidden/>
              </w:rPr>
            </w:r>
            <w:r w:rsidR="00EE54DF">
              <w:rPr>
                <w:noProof/>
                <w:webHidden/>
              </w:rPr>
              <w:fldChar w:fldCharType="separate"/>
            </w:r>
            <w:r w:rsidR="00EE54DF">
              <w:rPr>
                <w:noProof/>
                <w:webHidden/>
              </w:rPr>
              <w:t>14</w:t>
            </w:r>
            <w:r w:rsidR="00EE54DF">
              <w:rPr>
                <w:noProof/>
                <w:webHidden/>
              </w:rPr>
              <w:fldChar w:fldCharType="end"/>
            </w:r>
          </w:hyperlink>
        </w:p>
        <w:p w14:paraId="49436DF4" w14:textId="0B9BD0F3" w:rsidR="00EE54DF" w:rsidRDefault="00000000">
          <w:pPr>
            <w:pStyle w:val="TOC1"/>
            <w:tabs>
              <w:tab w:val="right" w:leader="dot" w:pos="8296"/>
            </w:tabs>
            <w:rPr>
              <w:rFonts w:eastAsiaTheme="minorEastAsia" w:cstheme="minorBidi"/>
              <w:noProof/>
              <w:sz w:val="22"/>
              <w:szCs w:val="22"/>
            </w:rPr>
          </w:pPr>
          <w:hyperlink w:anchor="_Toc51515089" w:history="1">
            <w:r w:rsidR="00EE54DF" w:rsidRPr="00AD1F0E">
              <w:rPr>
                <w:rStyle w:val="Hyperlink"/>
                <w:rFonts w:eastAsiaTheme="majorEastAsia"/>
                <w:noProof/>
              </w:rPr>
              <w:t>Contacts</w:t>
            </w:r>
            <w:r w:rsidR="00EE54DF">
              <w:rPr>
                <w:noProof/>
                <w:webHidden/>
              </w:rPr>
              <w:tab/>
            </w:r>
            <w:r w:rsidR="00EE54DF">
              <w:rPr>
                <w:noProof/>
                <w:webHidden/>
              </w:rPr>
              <w:fldChar w:fldCharType="begin"/>
            </w:r>
            <w:r w:rsidR="00EE54DF">
              <w:rPr>
                <w:noProof/>
                <w:webHidden/>
              </w:rPr>
              <w:instrText xml:space="preserve"> PAGEREF _Toc51515089 \h </w:instrText>
            </w:r>
            <w:r w:rsidR="00EE54DF">
              <w:rPr>
                <w:noProof/>
                <w:webHidden/>
              </w:rPr>
            </w:r>
            <w:r w:rsidR="00EE54DF">
              <w:rPr>
                <w:noProof/>
                <w:webHidden/>
              </w:rPr>
              <w:fldChar w:fldCharType="separate"/>
            </w:r>
            <w:r w:rsidR="00EE54DF">
              <w:rPr>
                <w:noProof/>
                <w:webHidden/>
              </w:rPr>
              <w:t>15</w:t>
            </w:r>
            <w:r w:rsidR="00EE54DF">
              <w:rPr>
                <w:noProof/>
                <w:webHidden/>
              </w:rPr>
              <w:fldChar w:fldCharType="end"/>
            </w:r>
          </w:hyperlink>
        </w:p>
        <w:p w14:paraId="603E1F88" w14:textId="3ADE0A13" w:rsidR="00F4738A" w:rsidRDefault="00F4738A">
          <w:r>
            <w:rPr>
              <w:b/>
              <w:bCs/>
              <w:noProof/>
            </w:rPr>
            <w:fldChar w:fldCharType="end"/>
          </w:r>
        </w:p>
      </w:sdtContent>
    </w:sdt>
    <w:p w14:paraId="0BAFC888" w14:textId="574E5009" w:rsidR="00F4738A" w:rsidRDefault="00F4738A">
      <w:pPr>
        <w:rPr>
          <w:rFonts w:ascii="Calibri" w:hAnsi="Calibri" w:cs="Arial-BoldMT"/>
          <w:b/>
          <w:bCs/>
          <w:color w:val="000000"/>
        </w:rPr>
      </w:pPr>
      <w:r>
        <w:rPr>
          <w:rFonts w:ascii="Calibri" w:hAnsi="Calibri" w:cs="Arial-BoldMT"/>
          <w:b/>
          <w:bCs/>
          <w:color w:val="000000"/>
        </w:rPr>
        <w:br w:type="page"/>
      </w:r>
    </w:p>
    <w:p w14:paraId="7261607A" w14:textId="469EB4D2" w:rsidR="00DF582A" w:rsidRPr="00861B1B" w:rsidRDefault="00F4738A" w:rsidP="00F4738A">
      <w:pPr>
        <w:pStyle w:val="Heading1"/>
      </w:pPr>
      <w:bookmarkStart w:id="2" w:name="_Toc51515065"/>
      <w:r>
        <w:t>Introduction</w:t>
      </w:r>
      <w:bookmarkEnd w:id="2"/>
    </w:p>
    <w:p w14:paraId="71ACD395" w14:textId="77777777" w:rsidR="002932C1" w:rsidRPr="00C16565" w:rsidRDefault="00470EBA" w:rsidP="00C16565">
      <w:pPr>
        <w:autoSpaceDE w:val="0"/>
        <w:autoSpaceDN w:val="0"/>
        <w:adjustRightInd w:val="0"/>
        <w:spacing w:before="240"/>
        <w:rPr>
          <w:rFonts w:ascii="Calibri" w:hAnsi="Calibri" w:cs="ArialMT"/>
          <w:color w:val="000000"/>
        </w:rPr>
      </w:pPr>
      <w:r w:rsidRPr="00C16565">
        <w:rPr>
          <w:rFonts w:ascii="Calibri" w:hAnsi="Calibri" w:cs="ArialMT"/>
          <w:color w:val="000000"/>
        </w:rPr>
        <w:t>Edward Jenner School</w:t>
      </w:r>
      <w:r w:rsidR="002932C1" w:rsidRPr="00C16565">
        <w:rPr>
          <w:rFonts w:ascii="Calibri" w:hAnsi="Calibri" w:cs="ArialMT"/>
          <w:color w:val="000000"/>
        </w:rPr>
        <w:t xml:space="preserve"> collects and uses personal information about staff, pupils, parents and other individuals who come into contact with the school. This information is gathered in order to enable it to provide education and other associated functions. In addition, there may be a legal requirement to collect and use information to ensure that the school complies with its statutory obligations.</w:t>
      </w:r>
    </w:p>
    <w:p w14:paraId="79DD0943" w14:textId="77777777" w:rsidR="002932C1" w:rsidRPr="00C16565" w:rsidRDefault="002932C1" w:rsidP="00C16565">
      <w:pPr>
        <w:autoSpaceDE w:val="0"/>
        <w:autoSpaceDN w:val="0"/>
        <w:adjustRightInd w:val="0"/>
        <w:spacing w:before="240"/>
        <w:rPr>
          <w:rFonts w:ascii="Calibri" w:hAnsi="Calibri" w:cs="ArialMT"/>
          <w:color w:val="000000"/>
        </w:rPr>
      </w:pPr>
      <w:r w:rsidRPr="00C16565">
        <w:rPr>
          <w:rFonts w:ascii="Calibri" w:hAnsi="Calibri" w:cs="ArialMT"/>
          <w:color w:val="000000"/>
        </w:rPr>
        <w:t xml:space="preserve">Schools have a duty to be registered, as Data Controllers, with the Information Commissioner’s Office (ICO) detailing the information held and its use. These details are then available on the ICO’s website. Schools also have a duty to issue a </w:t>
      </w:r>
      <w:r w:rsidR="00470EBA" w:rsidRPr="00C16565">
        <w:rPr>
          <w:rFonts w:ascii="Calibri" w:hAnsi="Calibri" w:cs="ArialMT"/>
          <w:color w:val="000000"/>
        </w:rPr>
        <w:t>Privacy Notice</w:t>
      </w:r>
      <w:r w:rsidRPr="00C16565">
        <w:rPr>
          <w:rFonts w:ascii="Calibri" w:hAnsi="Calibri" w:cs="ArialMT"/>
          <w:color w:val="000000"/>
        </w:rPr>
        <w:t xml:space="preserve"> to all pupils/parents, this summarises the information held on pupils, why it is held and the other parties to whom it may be passed on.</w:t>
      </w:r>
    </w:p>
    <w:p w14:paraId="723EC3E6" w14:textId="77777777" w:rsidR="002932C1" w:rsidRPr="00C16565" w:rsidRDefault="002932C1" w:rsidP="00C16565">
      <w:pPr>
        <w:autoSpaceDE w:val="0"/>
        <w:autoSpaceDN w:val="0"/>
        <w:adjustRightInd w:val="0"/>
        <w:spacing w:before="240"/>
        <w:rPr>
          <w:rFonts w:ascii="Calibri" w:hAnsi="Calibri" w:cs="Arial-BoldMT"/>
          <w:b/>
          <w:bCs/>
          <w:color w:val="000000"/>
        </w:rPr>
      </w:pPr>
      <w:r w:rsidRPr="00C16565">
        <w:rPr>
          <w:rFonts w:ascii="Calibri" w:hAnsi="Calibri" w:cs="Arial-BoldMT"/>
          <w:b/>
          <w:bCs/>
          <w:color w:val="000000"/>
        </w:rPr>
        <w:t>Purpose</w:t>
      </w:r>
    </w:p>
    <w:p w14:paraId="6CEE4B15" w14:textId="051BFE6C" w:rsidR="002932C1" w:rsidRPr="00C16565" w:rsidRDefault="002932C1" w:rsidP="00C16565">
      <w:pPr>
        <w:autoSpaceDE w:val="0"/>
        <w:autoSpaceDN w:val="0"/>
        <w:adjustRightInd w:val="0"/>
        <w:spacing w:before="240"/>
        <w:ind w:left="66"/>
        <w:rPr>
          <w:rFonts w:ascii="Calibri" w:hAnsi="Calibri" w:cs="ArialMT"/>
          <w:color w:val="000000"/>
        </w:rPr>
      </w:pPr>
      <w:r w:rsidRPr="00C16565">
        <w:rPr>
          <w:rFonts w:ascii="Calibri" w:hAnsi="Calibri" w:cs="ArialMT"/>
          <w:color w:val="000000"/>
        </w:rPr>
        <w:t xml:space="preserve">This policy is intended to ensure that personal information is dealt with correctly and securely and in accordance with the </w:t>
      </w:r>
      <w:r w:rsidR="005511AE" w:rsidRPr="00C16565">
        <w:rPr>
          <w:rFonts w:ascii="Calibri" w:hAnsi="Calibri" w:cs="ArialMT"/>
          <w:color w:val="000000"/>
        </w:rPr>
        <w:t>General Data Protection Regulation (GDPR) 2018</w:t>
      </w:r>
      <w:r w:rsidRPr="00C16565">
        <w:rPr>
          <w:rFonts w:ascii="Calibri" w:hAnsi="Calibri" w:cs="ArialMT"/>
          <w:color w:val="000000"/>
        </w:rPr>
        <w:t>, and other related legislation. It will apply to information regardless of the way it is collected, used, recorded, stored and destroyed, and irrespective of whether it is held in paper files or electronically.</w:t>
      </w:r>
    </w:p>
    <w:p w14:paraId="3E5F185E" w14:textId="77777777" w:rsidR="002932C1" w:rsidRPr="00C16565" w:rsidRDefault="002932C1" w:rsidP="00C16565">
      <w:pPr>
        <w:autoSpaceDE w:val="0"/>
        <w:autoSpaceDN w:val="0"/>
        <w:adjustRightInd w:val="0"/>
        <w:spacing w:before="240"/>
        <w:ind w:left="66"/>
        <w:rPr>
          <w:rFonts w:ascii="Calibri" w:hAnsi="Calibri" w:cs="ArialMT"/>
          <w:color w:val="000000"/>
        </w:rPr>
      </w:pPr>
      <w:r w:rsidRPr="00C16565">
        <w:rPr>
          <w:rFonts w:ascii="Calibri" w:hAnsi="Calibri" w:cs="ArialMT"/>
          <w:color w:val="000000"/>
        </w:rPr>
        <w:t>All staff involved with the collection, processing and disclosure of personal data will be aware of their duties and responsibilities by adhering to these guidelines.</w:t>
      </w:r>
    </w:p>
    <w:p w14:paraId="09E87A4D" w14:textId="77777777" w:rsidR="002932C1" w:rsidRPr="00C16565" w:rsidRDefault="002932C1" w:rsidP="00C16565">
      <w:pPr>
        <w:autoSpaceDE w:val="0"/>
        <w:autoSpaceDN w:val="0"/>
        <w:adjustRightInd w:val="0"/>
        <w:spacing w:before="240"/>
        <w:rPr>
          <w:rFonts w:ascii="Calibri" w:hAnsi="Calibri" w:cs="Arial-BoldMT"/>
          <w:b/>
          <w:bCs/>
          <w:color w:val="000000"/>
        </w:rPr>
      </w:pPr>
      <w:r w:rsidRPr="00C16565">
        <w:rPr>
          <w:rFonts w:ascii="Calibri" w:hAnsi="Calibri" w:cs="Arial-BoldMT"/>
          <w:b/>
          <w:bCs/>
          <w:color w:val="000000"/>
        </w:rPr>
        <w:t>What is Personal Information?</w:t>
      </w:r>
    </w:p>
    <w:p w14:paraId="23B70252" w14:textId="77777777" w:rsidR="005511AE" w:rsidRPr="00C16565" w:rsidRDefault="005511AE" w:rsidP="00C16565">
      <w:pPr>
        <w:autoSpaceDE w:val="0"/>
        <w:autoSpaceDN w:val="0"/>
        <w:adjustRightInd w:val="0"/>
        <w:spacing w:before="240"/>
        <w:rPr>
          <w:rFonts w:ascii="Calibri" w:hAnsi="Calibri" w:cs="ArialMT"/>
          <w:color w:val="000000"/>
        </w:rPr>
      </w:pPr>
      <w:r w:rsidRPr="00C16565">
        <w:rPr>
          <w:rFonts w:ascii="Calibri" w:hAnsi="Calibri" w:cs="ArialMT"/>
          <w:color w:val="000000"/>
        </w:rPr>
        <w:t>Personal data is defined in the GDPR as:</w:t>
      </w:r>
    </w:p>
    <w:p w14:paraId="7A54EECD" w14:textId="4339080D" w:rsidR="002932C1" w:rsidRPr="00C16565" w:rsidRDefault="005511AE" w:rsidP="00C16565">
      <w:pPr>
        <w:autoSpaceDE w:val="0"/>
        <w:autoSpaceDN w:val="0"/>
        <w:adjustRightInd w:val="0"/>
        <w:spacing w:before="240"/>
        <w:rPr>
          <w:rFonts w:ascii="Calibri" w:hAnsi="Calibri" w:cs="ArialMT"/>
          <w:i/>
          <w:color w:val="000000"/>
        </w:rPr>
      </w:pPr>
      <w:r w:rsidRPr="00C16565">
        <w:rPr>
          <w:rFonts w:ascii="Calibri" w:hAnsi="Calibri" w:cs="ArialMT"/>
          <w:i/>
          <w:color w:val="000000"/>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19B8279" w14:textId="77777777" w:rsidR="005511AE" w:rsidRPr="00C16565" w:rsidRDefault="005511AE" w:rsidP="00C16565">
      <w:pPr>
        <w:autoSpaceDE w:val="0"/>
        <w:autoSpaceDN w:val="0"/>
        <w:adjustRightInd w:val="0"/>
        <w:spacing w:before="240"/>
        <w:rPr>
          <w:rFonts w:ascii="Calibri" w:hAnsi="Calibri" w:cs="Arial-BoldMT"/>
          <w:bCs/>
          <w:color w:val="000000"/>
        </w:rPr>
      </w:pPr>
      <w:r w:rsidRPr="00C16565">
        <w:rPr>
          <w:rFonts w:ascii="Calibri" w:hAnsi="Calibri" w:cs="Arial-BoldMT"/>
          <w:bCs/>
          <w:color w:val="000000"/>
        </w:rPr>
        <w:t>The GDPR refers to the processing of these data as ‘special categories of personal data’. This means personal data about an individual’s:</w:t>
      </w:r>
    </w:p>
    <w:p w14:paraId="1AFBD03D"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race;</w:t>
      </w:r>
    </w:p>
    <w:p w14:paraId="4970763F"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ethnic origin;</w:t>
      </w:r>
    </w:p>
    <w:p w14:paraId="7A7530AA"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political opinions;</w:t>
      </w:r>
    </w:p>
    <w:p w14:paraId="7CD8EB88"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religious or philosophical beliefs;</w:t>
      </w:r>
    </w:p>
    <w:p w14:paraId="28D0B153"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trade union membership;</w:t>
      </w:r>
    </w:p>
    <w:p w14:paraId="692F8CCD"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genetic data;</w:t>
      </w:r>
    </w:p>
    <w:p w14:paraId="60397188"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biometric data (where this is used for identification purposes);</w:t>
      </w:r>
    </w:p>
    <w:p w14:paraId="16C55F2D"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health data;</w:t>
      </w:r>
    </w:p>
    <w:p w14:paraId="2CE102FD" w14:textId="77777777"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sex life; or</w:t>
      </w:r>
    </w:p>
    <w:p w14:paraId="3BA3953D" w14:textId="4F3C5BE2" w:rsidR="005511AE" w:rsidRPr="007A359A" w:rsidRDefault="005511AE" w:rsidP="00A3605C">
      <w:pPr>
        <w:pStyle w:val="ListParagraph"/>
        <w:numPr>
          <w:ilvl w:val="0"/>
          <w:numId w:val="1"/>
        </w:numPr>
        <w:autoSpaceDE w:val="0"/>
        <w:autoSpaceDN w:val="0"/>
        <w:adjustRightInd w:val="0"/>
        <w:ind w:left="851" w:hanging="567"/>
        <w:rPr>
          <w:rFonts w:ascii="Calibri" w:hAnsi="Calibri" w:cs="Arial-BoldMT"/>
          <w:bCs/>
          <w:color w:val="000000"/>
        </w:rPr>
      </w:pPr>
      <w:r w:rsidRPr="007A359A">
        <w:rPr>
          <w:rFonts w:ascii="Calibri" w:hAnsi="Calibri" w:cs="Arial-BoldMT"/>
          <w:bCs/>
          <w:color w:val="000000"/>
        </w:rPr>
        <w:t>sexual orientation.</w:t>
      </w:r>
    </w:p>
    <w:p w14:paraId="275A2B4E" w14:textId="1D29B724" w:rsidR="002932C1" w:rsidRPr="00C16565" w:rsidRDefault="002932C1" w:rsidP="00C16565">
      <w:pPr>
        <w:autoSpaceDE w:val="0"/>
        <w:autoSpaceDN w:val="0"/>
        <w:adjustRightInd w:val="0"/>
        <w:spacing w:before="240"/>
        <w:rPr>
          <w:rFonts w:ascii="Calibri" w:hAnsi="Calibri" w:cs="Arial-BoldMT"/>
          <w:b/>
          <w:bCs/>
          <w:color w:val="000000"/>
        </w:rPr>
      </w:pPr>
      <w:r w:rsidRPr="00C16565">
        <w:rPr>
          <w:rFonts w:ascii="Calibri" w:hAnsi="Calibri" w:cs="Arial-BoldMT"/>
          <w:b/>
          <w:bCs/>
          <w:color w:val="000000"/>
        </w:rPr>
        <w:t>Data Protection Principles</w:t>
      </w:r>
    </w:p>
    <w:p w14:paraId="6257350F" w14:textId="77777777" w:rsidR="00B30349" w:rsidRPr="00C16565" w:rsidRDefault="00B30349" w:rsidP="00C16565">
      <w:pPr>
        <w:autoSpaceDE w:val="0"/>
        <w:autoSpaceDN w:val="0"/>
        <w:adjustRightInd w:val="0"/>
        <w:rPr>
          <w:rFonts w:ascii="Calibri" w:hAnsi="Calibri" w:cs="ArialMT"/>
          <w:color w:val="000000"/>
        </w:rPr>
      </w:pPr>
      <w:r w:rsidRPr="00C16565">
        <w:rPr>
          <w:rFonts w:ascii="Calibri" w:hAnsi="Calibri" w:cs="ArialMT"/>
          <w:color w:val="000000"/>
        </w:rPr>
        <w:t>The principles set out in the GDPR must be adhered to when processing personal data:</w:t>
      </w:r>
    </w:p>
    <w:p w14:paraId="5430B488"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Personal data must be processed lawfully, fairly and in a transparent manner (</w:t>
      </w:r>
      <w:r w:rsidRPr="007A359A">
        <w:rPr>
          <w:rFonts w:ascii="Calibri" w:hAnsi="Calibri" w:cs="ArialMT"/>
          <w:b/>
          <w:color w:val="000000"/>
        </w:rPr>
        <w:t>lawfulness, fairness and transparency</w:t>
      </w:r>
      <w:r w:rsidRPr="007A359A">
        <w:rPr>
          <w:rFonts w:ascii="Calibri" w:hAnsi="Calibri" w:cs="ArialMT"/>
          <w:color w:val="000000"/>
        </w:rPr>
        <w:t xml:space="preserve">) </w:t>
      </w:r>
    </w:p>
    <w:p w14:paraId="6B8AAED4"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 xml:space="preserve">Personal data shall be collected for specified, explicit and legitimate purposes and not further processed in a manner that is incompatible with those purposes </w:t>
      </w:r>
      <w:bookmarkStart w:id="3" w:name="_Hlk32158334"/>
      <w:r w:rsidRPr="007A359A">
        <w:rPr>
          <w:rFonts w:ascii="Calibri" w:hAnsi="Calibri" w:cs="ArialMT"/>
          <w:color w:val="000000"/>
        </w:rPr>
        <w:t>(</w:t>
      </w:r>
      <w:r w:rsidRPr="007A359A">
        <w:rPr>
          <w:rFonts w:ascii="Calibri" w:hAnsi="Calibri" w:cs="ArialMT"/>
          <w:b/>
          <w:color w:val="000000"/>
        </w:rPr>
        <w:t>purpose limitation</w:t>
      </w:r>
      <w:bookmarkEnd w:id="3"/>
      <w:r w:rsidRPr="007A359A">
        <w:rPr>
          <w:rFonts w:ascii="Calibri" w:hAnsi="Calibri" w:cs="ArialMT"/>
          <w:color w:val="000000"/>
        </w:rPr>
        <w:t xml:space="preserve">) </w:t>
      </w:r>
    </w:p>
    <w:p w14:paraId="4261EAA9"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Personal data shall be adequate, relevant and limited to what is necessary in relation to the purpose(s) for which they are processed (</w:t>
      </w:r>
      <w:r w:rsidRPr="007A359A">
        <w:rPr>
          <w:rFonts w:ascii="Calibri" w:hAnsi="Calibri" w:cs="ArialMT"/>
          <w:b/>
          <w:color w:val="000000"/>
        </w:rPr>
        <w:t>data minimisation</w:t>
      </w:r>
      <w:r w:rsidRPr="007A359A">
        <w:rPr>
          <w:rFonts w:ascii="Calibri" w:hAnsi="Calibri" w:cs="ArialMT"/>
          <w:color w:val="000000"/>
        </w:rPr>
        <w:t xml:space="preserve">) </w:t>
      </w:r>
    </w:p>
    <w:p w14:paraId="417421BF"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Personal data shall be accurate and where necessary kept up to date and every reasonable step must be taken to ensure that personal data that are inaccurate are erased or rectified without delay (</w:t>
      </w:r>
      <w:r w:rsidRPr="007A359A">
        <w:rPr>
          <w:rFonts w:ascii="Calibri" w:hAnsi="Calibri" w:cs="ArialMT"/>
          <w:b/>
          <w:color w:val="000000"/>
        </w:rPr>
        <w:t>accuracy</w:t>
      </w:r>
      <w:r w:rsidRPr="007A359A">
        <w:rPr>
          <w:rFonts w:ascii="Calibri" w:hAnsi="Calibri" w:cs="ArialMT"/>
          <w:color w:val="000000"/>
        </w:rPr>
        <w:t>).</w:t>
      </w:r>
    </w:p>
    <w:p w14:paraId="1F3F79C0"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Personal data shall be kept in a form which permits identification of data subjects for no longer than is necessary for the purpose for which the personal data is processed (</w:t>
      </w:r>
      <w:r w:rsidRPr="007A359A">
        <w:rPr>
          <w:rFonts w:ascii="Calibri" w:hAnsi="Calibri" w:cs="ArialMT"/>
          <w:b/>
          <w:color w:val="000000"/>
        </w:rPr>
        <w:t>storage limitation</w:t>
      </w:r>
      <w:r w:rsidRPr="007A359A">
        <w:rPr>
          <w:rFonts w:ascii="Calibri" w:hAnsi="Calibri" w:cs="ArialMT"/>
          <w:color w:val="000000"/>
        </w:rPr>
        <w:t xml:space="preserve">) </w:t>
      </w:r>
    </w:p>
    <w:p w14:paraId="612E7AAA" w14:textId="77777777" w:rsidR="00B30349" w:rsidRPr="007A359A" w:rsidRDefault="00B30349" w:rsidP="00A3605C">
      <w:pPr>
        <w:pStyle w:val="ListParagraph"/>
        <w:numPr>
          <w:ilvl w:val="0"/>
          <w:numId w:val="2"/>
        </w:numPr>
        <w:autoSpaceDE w:val="0"/>
        <w:autoSpaceDN w:val="0"/>
        <w:adjustRightInd w:val="0"/>
        <w:ind w:left="851" w:hanging="567"/>
        <w:rPr>
          <w:rFonts w:ascii="Calibri" w:hAnsi="Calibri" w:cs="ArialMT"/>
          <w:color w:val="000000"/>
        </w:rPr>
      </w:pPr>
      <w:r w:rsidRPr="007A359A">
        <w:rPr>
          <w:rFonts w:ascii="Calibri" w:hAnsi="Calibri" w:cs="ArialMT"/>
          <w:color w:val="000000"/>
        </w:rPr>
        <w:t>Appropriate technical and organisational measures shall be taken to safeguard the rights and freedoms of the data subject and to ensure that personal information are processed in a manner that ensures appropriate security of the personal data and protects against unauthorised or unlawful processing of personal data and against accidental loss or destruction of, or damage to, personal data (</w:t>
      </w:r>
      <w:r w:rsidRPr="007A359A">
        <w:rPr>
          <w:rFonts w:ascii="Calibri" w:hAnsi="Calibri" w:cs="ArialMT"/>
          <w:b/>
          <w:color w:val="000000"/>
        </w:rPr>
        <w:t>integrity and confidentiality</w:t>
      </w:r>
      <w:r w:rsidRPr="007A359A">
        <w:rPr>
          <w:rFonts w:ascii="Calibri" w:hAnsi="Calibri" w:cs="ArialMT"/>
          <w:color w:val="000000"/>
        </w:rPr>
        <w:t>).</w:t>
      </w:r>
    </w:p>
    <w:p w14:paraId="34D0F8B2" w14:textId="77777777" w:rsidR="00B30349" w:rsidRPr="008B6DBE" w:rsidRDefault="00B30349" w:rsidP="00C16565">
      <w:pPr>
        <w:autoSpaceDE w:val="0"/>
        <w:autoSpaceDN w:val="0"/>
        <w:adjustRightInd w:val="0"/>
        <w:spacing w:before="240"/>
        <w:rPr>
          <w:rFonts w:ascii="Calibri" w:hAnsi="Calibri" w:cs="ArialMT"/>
          <w:color w:val="000000"/>
        </w:rPr>
      </w:pPr>
    </w:p>
    <w:p w14:paraId="290F6ED4" w14:textId="79DBDD9E" w:rsidR="002932C1" w:rsidRPr="007A359A" w:rsidRDefault="00D75DE1" w:rsidP="00A3605C">
      <w:pPr>
        <w:pStyle w:val="Heading1"/>
        <w:numPr>
          <w:ilvl w:val="0"/>
          <w:numId w:val="3"/>
        </w:numPr>
      </w:pPr>
      <w:bookmarkStart w:id="4" w:name="_Toc51515066"/>
      <w:r w:rsidRPr="007A359A">
        <w:t>GENERAL STATEMENT</w:t>
      </w:r>
      <w:bookmarkEnd w:id="4"/>
    </w:p>
    <w:p w14:paraId="501B917B" w14:textId="07C2364B" w:rsidR="002932C1" w:rsidRPr="00EE27C5" w:rsidRDefault="00470EBA" w:rsidP="00EE27C5">
      <w:pPr>
        <w:autoSpaceDE w:val="0"/>
        <w:autoSpaceDN w:val="0"/>
        <w:adjustRightInd w:val="0"/>
        <w:spacing w:before="240"/>
        <w:rPr>
          <w:rFonts w:ascii="Calibri" w:hAnsi="Calibri" w:cs="ArialMT"/>
          <w:color w:val="000000"/>
        </w:rPr>
      </w:pPr>
      <w:r w:rsidRPr="00EE27C5">
        <w:rPr>
          <w:rFonts w:ascii="Calibri" w:hAnsi="Calibri" w:cs="ArialMT"/>
          <w:color w:val="000000"/>
        </w:rPr>
        <w:t>Edward Jenner</w:t>
      </w:r>
      <w:r w:rsidR="00D431CF" w:rsidRPr="00EE27C5">
        <w:rPr>
          <w:rFonts w:ascii="Calibri" w:hAnsi="Calibri" w:cs="ArialMT"/>
          <w:color w:val="000000"/>
        </w:rPr>
        <w:t xml:space="preserve"> S</w:t>
      </w:r>
      <w:r w:rsidR="002932C1" w:rsidRPr="00EE27C5">
        <w:rPr>
          <w:rFonts w:ascii="Calibri" w:hAnsi="Calibri" w:cs="ArialMT"/>
          <w:color w:val="000000"/>
        </w:rPr>
        <w:t xml:space="preserve">chool </w:t>
      </w:r>
      <w:r w:rsidR="000015A4" w:rsidRPr="00EE27C5">
        <w:rPr>
          <w:rFonts w:ascii="Calibri" w:hAnsi="Calibri" w:cs="ArialMT"/>
          <w:color w:val="000000"/>
        </w:rPr>
        <w:t>is always committed to maintaining the above principles.</w:t>
      </w:r>
      <w:r w:rsidR="002932C1" w:rsidRPr="00EE27C5">
        <w:rPr>
          <w:rFonts w:ascii="Calibri" w:hAnsi="Calibri" w:cs="ArialMT"/>
          <w:color w:val="000000"/>
        </w:rPr>
        <w:t xml:space="preserve"> </w:t>
      </w:r>
      <w:r w:rsidR="000015A4" w:rsidRPr="00EE27C5">
        <w:rPr>
          <w:rFonts w:ascii="Calibri" w:hAnsi="Calibri" w:cs="ArialMT"/>
          <w:color w:val="000000"/>
        </w:rPr>
        <w:t>Therefore,</w:t>
      </w:r>
      <w:r w:rsidR="002932C1" w:rsidRPr="00EE27C5">
        <w:rPr>
          <w:rFonts w:ascii="Calibri" w:hAnsi="Calibri" w:cs="ArialMT"/>
          <w:color w:val="000000"/>
        </w:rPr>
        <w:t xml:space="preserve"> the school will:</w:t>
      </w:r>
    </w:p>
    <w:p w14:paraId="4CA90D0D"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Inform individuals why the information is being collected when it is collected</w:t>
      </w:r>
    </w:p>
    <w:p w14:paraId="0C667EBF"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Inform individuals when their information is shared, and why and with whom it was shared</w:t>
      </w:r>
    </w:p>
    <w:p w14:paraId="531922C1"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Check the quality and the accuracy of the information it holds</w:t>
      </w:r>
    </w:p>
    <w:p w14:paraId="065716E4"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Ensure that information is not retained for longer than is necessary</w:t>
      </w:r>
    </w:p>
    <w:p w14:paraId="5615D4F6"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Ensure that when obsolete information is destroyed that it is done so</w:t>
      </w:r>
      <w:r w:rsidR="00D431CF" w:rsidRPr="00EE27C5">
        <w:rPr>
          <w:rFonts w:ascii="Calibri" w:hAnsi="Calibri" w:cs="ArialMT"/>
          <w:color w:val="000000"/>
        </w:rPr>
        <w:t xml:space="preserve"> </w:t>
      </w:r>
      <w:r w:rsidRPr="00EE27C5">
        <w:rPr>
          <w:rFonts w:ascii="Calibri" w:hAnsi="Calibri" w:cs="ArialMT"/>
          <w:color w:val="000000"/>
        </w:rPr>
        <w:t>appropriately and securely</w:t>
      </w:r>
    </w:p>
    <w:p w14:paraId="1E97BAAF"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Ensure that clear and robust safeguards are in place to protect personal information from loss, theft and unauthorised disclosure, irrespective of the format in which it is recorded</w:t>
      </w:r>
    </w:p>
    <w:p w14:paraId="3DE192D5"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Share information with others only when it is legally appropriate to do so</w:t>
      </w:r>
    </w:p>
    <w:p w14:paraId="11CAC541"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Set out procedures to ensure compliance with the duty to respond to requests for access to personal information, known as Subject Access Requests</w:t>
      </w:r>
    </w:p>
    <w:p w14:paraId="2AFE1A38" w14:textId="77777777" w:rsidR="002932C1" w:rsidRPr="00EE27C5" w:rsidRDefault="002932C1" w:rsidP="00A3605C">
      <w:pPr>
        <w:pStyle w:val="ListParagraph"/>
        <w:numPr>
          <w:ilvl w:val="0"/>
          <w:numId w:val="7"/>
        </w:numPr>
        <w:autoSpaceDE w:val="0"/>
        <w:autoSpaceDN w:val="0"/>
        <w:adjustRightInd w:val="0"/>
        <w:rPr>
          <w:rFonts w:ascii="Calibri" w:hAnsi="Calibri" w:cs="ArialMT"/>
          <w:color w:val="000000"/>
        </w:rPr>
      </w:pPr>
      <w:r w:rsidRPr="00EE27C5">
        <w:rPr>
          <w:rFonts w:ascii="Calibri" w:hAnsi="Calibri" w:cs="ArialMT"/>
          <w:color w:val="000000"/>
        </w:rPr>
        <w:t>Ensure our staff are aware of and understand our policies and procedures</w:t>
      </w:r>
    </w:p>
    <w:p w14:paraId="4DEBB833" w14:textId="3F980862" w:rsidR="00550A0A" w:rsidRPr="007A359A" w:rsidRDefault="000015A4" w:rsidP="00A3605C">
      <w:pPr>
        <w:pStyle w:val="Heading1"/>
        <w:numPr>
          <w:ilvl w:val="0"/>
          <w:numId w:val="3"/>
        </w:numPr>
      </w:pPr>
      <w:bookmarkStart w:id="5" w:name="_Toc51515067"/>
      <w:bookmarkStart w:id="6" w:name="_Toc494653126"/>
      <w:r w:rsidRPr="007A359A">
        <w:t>LAWFUL BASIS FOR PROCESSING PERSONAL INFORMATION</w:t>
      </w:r>
      <w:bookmarkEnd w:id="5"/>
      <w:r w:rsidRPr="007A359A">
        <w:t xml:space="preserve"> </w:t>
      </w:r>
    </w:p>
    <w:p w14:paraId="67066546" w14:textId="77777777" w:rsidR="00550A0A" w:rsidRPr="000015A4" w:rsidRDefault="00550A0A" w:rsidP="00A3605C">
      <w:pPr>
        <w:pStyle w:val="ListParagraph"/>
        <w:numPr>
          <w:ilvl w:val="1"/>
          <w:numId w:val="3"/>
        </w:numPr>
        <w:spacing w:before="240"/>
        <w:rPr>
          <w:rFonts w:cstheme="minorHAnsi"/>
        </w:rPr>
      </w:pPr>
      <w:r w:rsidRPr="000015A4">
        <w:rPr>
          <w:rFonts w:cstheme="minorHAnsi"/>
        </w:rPr>
        <w:t>Before any processing activity starts for the first time, and then regularly afterwards, the purpose(s) for the processing activity and the most appropriate lawful basis (or bases) for that processing must be selected:</w:t>
      </w:r>
    </w:p>
    <w:p w14:paraId="667012EB" w14:textId="7D82103B" w:rsidR="00550A0A" w:rsidRPr="000015A4" w:rsidRDefault="00550A0A" w:rsidP="00A3605C">
      <w:pPr>
        <w:pStyle w:val="ListParagraph"/>
        <w:numPr>
          <w:ilvl w:val="2"/>
          <w:numId w:val="3"/>
        </w:numPr>
        <w:ind w:left="1418" w:hanging="646"/>
        <w:rPr>
          <w:rFonts w:cstheme="minorHAnsi"/>
        </w:rPr>
      </w:pPr>
      <w:r w:rsidRPr="000015A4">
        <w:rPr>
          <w:rFonts w:cstheme="minorHAnsi"/>
        </w:rPr>
        <w:t>Processing is necessary for the performance of a task carried out in the public interest or in the exercise of official authority vested in the school</w:t>
      </w:r>
    </w:p>
    <w:p w14:paraId="3B080DDF" w14:textId="4C9BBA0E" w:rsidR="00550A0A" w:rsidRPr="000015A4" w:rsidRDefault="00550A0A" w:rsidP="00A3605C">
      <w:pPr>
        <w:pStyle w:val="ListParagraph"/>
        <w:numPr>
          <w:ilvl w:val="2"/>
          <w:numId w:val="3"/>
        </w:numPr>
        <w:ind w:left="1418" w:hanging="646"/>
        <w:rPr>
          <w:rFonts w:cstheme="minorHAnsi"/>
        </w:rPr>
      </w:pPr>
      <w:r w:rsidRPr="000015A4">
        <w:rPr>
          <w:rFonts w:cstheme="minorHAnsi"/>
        </w:rPr>
        <w:t>Processing is necessary for the performance of a contract to which the data subject is party, or in order to take steps at the request of the data subject prior to entering into a contract</w:t>
      </w:r>
    </w:p>
    <w:p w14:paraId="559AF5E7" w14:textId="42378A9A" w:rsidR="00550A0A" w:rsidRPr="000015A4" w:rsidRDefault="00550A0A" w:rsidP="00A3605C">
      <w:pPr>
        <w:pStyle w:val="ListParagraph"/>
        <w:numPr>
          <w:ilvl w:val="2"/>
          <w:numId w:val="3"/>
        </w:numPr>
        <w:ind w:left="1418" w:hanging="646"/>
        <w:rPr>
          <w:rFonts w:cstheme="minorHAnsi"/>
        </w:rPr>
      </w:pPr>
      <w:r w:rsidRPr="000015A4">
        <w:rPr>
          <w:rFonts w:cstheme="minorHAnsi"/>
        </w:rPr>
        <w:t>Processing is necessary for compliance with a legal obligation to which the data controller is subject</w:t>
      </w:r>
    </w:p>
    <w:p w14:paraId="7163A7B6" w14:textId="42FCADF8" w:rsidR="00550A0A" w:rsidRPr="000015A4" w:rsidRDefault="00550A0A" w:rsidP="00A3605C">
      <w:pPr>
        <w:pStyle w:val="ListParagraph"/>
        <w:numPr>
          <w:ilvl w:val="2"/>
          <w:numId w:val="3"/>
        </w:numPr>
        <w:ind w:left="1418" w:hanging="646"/>
        <w:rPr>
          <w:rFonts w:cstheme="minorHAnsi"/>
        </w:rPr>
      </w:pPr>
      <w:r w:rsidRPr="000015A4">
        <w:rPr>
          <w:rFonts w:cstheme="minorHAnsi"/>
        </w:rPr>
        <w:t>Processing is necessary in order to protect the vital interests of the data subject or of another natural person</w:t>
      </w:r>
    </w:p>
    <w:p w14:paraId="25BEA781" w14:textId="6D24705C" w:rsidR="00550A0A" w:rsidRPr="000015A4" w:rsidRDefault="00550A0A" w:rsidP="00A3605C">
      <w:pPr>
        <w:pStyle w:val="ListParagraph"/>
        <w:numPr>
          <w:ilvl w:val="2"/>
          <w:numId w:val="3"/>
        </w:numPr>
        <w:ind w:left="1418" w:hanging="646"/>
        <w:rPr>
          <w:rFonts w:cstheme="minorHAnsi"/>
        </w:rPr>
      </w:pPr>
      <w:r w:rsidRPr="000015A4">
        <w:rPr>
          <w:rFonts w:cstheme="minorHAnsi"/>
        </w:rPr>
        <w:t xml:space="preserve">Processing is necessary for the purposes of the legitimate interests pursued by the data controller or by a third party  </w:t>
      </w:r>
    </w:p>
    <w:p w14:paraId="35B1EDB7" w14:textId="1CB4E633" w:rsidR="00550A0A" w:rsidRPr="000015A4" w:rsidRDefault="00550A0A" w:rsidP="00A3605C">
      <w:pPr>
        <w:pStyle w:val="ListParagraph"/>
        <w:numPr>
          <w:ilvl w:val="2"/>
          <w:numId w:val="3"/>
        </w:numPr>
        <w:ind w:left="1418" w:hanging="646"/>
        <w:rPr>
          <w:rFonts w:cstheme="minorHAnsi"/>
        </w:rPr>
      </w:pPr>
      <w:r w:rsidRPr="000015A4">
        <w:rPr>
          <w:rFonts w:cstheme="minorHAnsi"/>
        </w:rPr>
        <w:t>The data subject has given consent to the processing of his or her data for one or more specific purposes.  Agreement must be indicated clearly either by a statement or positive action to the processing.  Consent requires affirmative action so silence, pre-ticked boxes or inactivity are unlikely to be sufficient.  If consent is given in a document which deals with other matters, the consent must be kept separate from those other matters</w:t>
      </w:r>
    </w:p>
    <w:p w14:paraId="4A43848A" w14:textId="77777777" w:rsidR="00550A0A" w:rsidRPr="00062037" w:rsidRDefault="00550A0A" w:rsidP="00A3605C">
      <w:pPr>
        <w:pStyle w:val="ListParagraph"/>
        <w:numPr>
          <w:ilvl w:val="1"/>
          <w:numId w:val="3"/>
        </w:numPr>
      </w:pPr>
      <w:r w:rsidRPr="00062037">
        <w:t xml:space="preserve">Data subjects must be easily able to withdraw consent to processing at any time and withdrawal must be promptly honoured.  Consent may need to be reviewed if personal data is intended to be processed for a different and incompatible purpose which was not disclosed when the data subject first gave consent.  </w:t>
      </w:r>
    </w:p>
    <w:p w14:paraId="1B407D66" w14:textId="77777777" w:rsidR="00550A0A" w:rsidRPr="00550A0A" w:rsidRDefault="00550A0A" w:rsidP="00062037">
      <w:pPr>
        <w:ind w:left="1418"/>
      </w:pPr>
    </w:p>
    <w:p w14:paraId="14176EAD" w14:textId="3D4FC5DE" w:rsidR="00550A0A" w:rsidRPr="00062037" w:rsidRDefault="00550A0A" w:rsidP="00A3605C">
      <w:pPr>
        <w:pStyle w:val="ListParagraph"/>
        <w:numPr>
          <w:ilvl w:val="1"/>
          <w:numId w:val="3"/>
        </w:numPr>
      </w:pPr>
      <w:r w:rsidRPr="00062037">
        <w:t xml:space="preserve">The decision as to which lawful basis applies must be documented, to demonstrate compliance with the data protection principles and include information about both the purposes of the processing and the lawful basis for it in the school’s relevant privacy notice(s). </w:t>
      </w:r>
      <w:r w:rsidR="0053128C" w:rsidRPr="00062037">
        <w:t>See EJS Information Asset Register for classification of lawful processing decisions.</w:t>
      </w:r>
    </w:p>
    <w:p w14:paraId="61FD944C" w14:textId="77777777" w:rsidR="00550A0A" w:rsidRPr="00550A0A" w:rsidRDefault="00550A0A" w:rsidP="00062037">
      <w:pPr>
        <w:ind w:left="1418"/>
      </w:pPr>
    </w:p>
    <w:p w14:paraId="5207A96E" w14:textId="08CCB1BB" w:rsidR="007801C6" w:rsidRPr="00062037" w:rsidRDefault="00550A0A" w:rsidP="00A3605C">
      <w:pPr>
        <w:pStyle w:val="ListParagraph"/>
        <w:numPr>
          <w:ilvl w:val="1"/>
          <w:numId w:val="3"/>
        </w:numPr>
      </w:pPr>
      <w:r w:rsidRPr="00062037">
        <w:t xml:space="preserve">When determining whether legitimate interests are the most appropriate basis for lawful processing (only where appropriate outside the school’s public tasks) a legitimate </w:t>
      </w:r>
      <w:r w:rsidR="009E62A8" w:rsidRPr="00062037">
        <w:t>interest’s</w:t>
      </w:r>
      <w:r w:rsidRPr="00062037">
        <w:t xml:space="preserve"> assessment must be carried out and recorded.  Where a significant privacy impact is identified, a data protection impact assessment (DPIA) may also need to be conducted.</w:t>
      </w:r>
    </w:p>
    <w:p w14:paraId="0AFBAF57" w14:textId="77777777" w:rsidR="007801C6" w:rsidRPr="007A359A" w:rsidRDefault="007801C6" w:rsidP="00A3605C">
      <w:pPr>
        <w:pStyle w:val="Heading1"/>
        <w:numPr>
          <w:ilvl w:val="0"/>
          <w:numId w:val="3"/>
        </w:numPr>
      </w:pPr>
      <w:bookmarkStart w:id="7" w:name="_Toc51515068"/>
      <w:r w:rsidRPr="007A359A">
        <w:t>INFORMATION ASSETS</w:t>
      </w:r>
      <w:bookmarkEnd w:id="7"/>
    </w:p>
    <w:p w14:paraId="74825B64" w14:textId="7446D83B" w:rsidR="007801C6" w:rsidRPr="00062037" w:rsidRDefault="0053128C" w:rsidP="00062037">
      <w:pPr>
        <w:spacing w:before="240"/>
        <w:ind w:left="1080"/>
        <w:rPr>
          <w:rFonts w:cstheme="minorHAnsi"/>
        </w:rPr>
      </w:pPr>
      <w:r w:rsidRPr="00062037">
        <w:rPr>
          <w:rFonts w:cstheme="minorHAnsi"/>
        </w:rPr>
        <w:t>See EJS Information Asset Register</w:t>
      </w:r>
    </w:p>
    <w:p w14:paraId="47F913C6" w14:textId="77777777" w:rsidR="007801C6" w:rsidRPr="007A359A" w:rsidRDefault="007801C6" w:rsidP="00A3605C">
      <w:pPr>
        <w:pStyle w:val="Heading1"/>
        <w:numPr>
          <w:ilvl w:val="0"/>
          <w:numId w:val="3"/>
        </w:numPr>
      </w:pPr>
      <w:bookmarkStart w:id="8" w:name="_Toc51515069"/>
      <w:r w:rsidRPr="007A359A">
        <w:t>PERSONAL DATA PRIVACY NOTICES</w:t>
      </w:r>
      <w:bookmarkEnd w:id="8"/>
    </w:p>
    <w:p w14:paraId="397863EE" w14:textId="77777777" w:rsidR="007801C6" w:rsidRPr="000015A4" w:rsidRDefault="007801C6" w:rsidP="00A3605C">
      <w:pPr>
        <w:pStyle w:val="ListParagraph"/>
        <w:numPr>
          <w:ilvl w:val="1"/>
          <w:numId w:val="3"/>
        </w:numPr>
        <w:spacing w:before="240" w:after="200" w:line="276" w:lineRule="auto"/>
        <w:contextualSpacing/>
        <w:rPr>
          <w:rFonts w:cstheme="minorHAnsi"/>
        </w:rPr>
      </w:pPr>
      <w:r w:rsidRPr="000015A4">
        <w:rPr>
          <w:rFonts w:cstheme="minorHAnsi"/>
        </w:rPr>
        <w:t>Under the provisions of the GDPR 2018 all persons providing personal data involved with the school must be issued with a Data Privacy Notice. This describes the way in which we gather and handle personal data and highlight some of the implications of these processes.</w:t>
      </w:r>
    </w:p>
    <w:p w14:paraId="5A9E627F" w14:textId="3F44F9A6" w:rsidR="007801C6" w:rsidRPr="000015A4" w:rsidRDefault="007801C6" w:rsidP="00A3605C">
      <w:pPr>
        <w:pStyle w:val="ListParagraph"/>
        <w:numPr>
          <w:ilvl w:val="1"/>
          <w:numId w:val="3"/>
        </w:numPr>
        <w:spacing w:before="240" w:after="200" w:line="276" w:lineRule="auto"/>
        <w:contextualSpacing/>
        <w:rPr>
          <w:rFonts w:cstheme="minorHAnsi"/>
        </w:rPr>
      </w:pPr>
      <w:r w:rsidRPr="000015A4">
        <w:rPr>
          <w:rFonts w:cstheme="minorHAnsi"/>
        </w:rPr>
        <w:t>The privacy notices describe:</w:t>
      </w:r>
    </w:p>
    <w:p w14:paraId="09359574"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The categories of personal information that we collect, hold and share include;</w:t>
      </w:r>
    </w:p>
    <w:p w14:paraId="67B34B85"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Why we collect and use this information at Edward Jenner School:</w:t>
      </w:r>
    </w:p>
    <w:p w14:paraId="646518FD"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The lawful basis on which we use this information:</w:t>
      </w:r>
    </w:p>
    <w:p w14:paraId="157C7C6D"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Collecting personal information:</w:t>
      </w:r>
    </w:p>
    <w:p w14:paraId="63BE2542"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Storing personal data;</w:t>
      </w:r>
    </w:p>
    <w:p w14:paraId="10A82FA5"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Who we share personal information with;</w:t>
      </w:r>
    </w:p>
    <w:p w14:paraId="1F38782D"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Why we share personal information;</w:t>
      </w:r>
    </w:p>
    <w:p w14:paraId="546728C5"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Data collection requirements;</w:t>
      </w:r>
    </w:p>
    <w:p w14:paraId="1493DFEA" w14:textId="77777777" w:rsidR="007801C6" w:rsidRPr="000015A4" w:rsidRDefault="007801C6" w:rsidP="00A3605C">
      <w:pPr>
        <w:pStyle w:val="ListParagraph"/>
        <w:numPr>
          <w:ilvl w:val="2"/>
          <w:numId w:val="3"/>
        </w:numPr>
        <w:spacing w:before="240" w:after="200" w:line="276" w:lineRule="auto"/>
        <w:contextualSpacing/>
        <w:rPr>
          <w:rFonts w:cstheme="minorHAnsi"/>
        </w:rPr>
      </w:pPr>
      <w:r w:rsidRPr="000015A4">
        <w:rPr>
          <w:rFonts w:cstheme="minorHAnsi"/>
        </w:rPr>
        <w:t>Requesting access to your personal data.</w:t>
      </w:r>
    </w:p>
    <w:p w14:paraId="34C4EB62" w14:textId="221B22B4" w:rsidR="007A359A" w:rsidRDefault="007A359A" w:rsidP="00A3605C">
      <w:pPr>
        <w:pStyle w:val="Heading1"/>
        <w:numPr>
          <w:ilvl w:val="0"/>
          <w:numId w:val="3"/>
        </w:numPr>
      </w:pPr>
      <w:bookmarkStart w:id="9" w:name="_Toc51515070"/>
      <w:r w:rsidRPr="007A359A">
        <w:t>DATA MINIMISATION</w:t>
      </w:r>
      <w:bookmarkEnd w:id="9"/>
      <w:r w:rsidRPr="007A359A">
        <w:t xml:space="preserve"> </w:t>
      </w:r>
    </w:p>
    <w:p w14:paraId="7DB5CD5A" w14:textId="77777777" w:rsidR="00EE27C5" w:rsidRDefault="00EE27C5" w:rsidP="00A3605C">
      <w:pPr>
        <w:pStyle w:val="ListParagraph"/>
        <w:numPr>
          <w:ilvl w:val="1"/>
          <w:numId w:val="3"/>
        </w:numPr>
        <w:rPr>
          <w:lang w:eastAsia="en-US"/>
        </w:rPr>
      </w:pPr>
      <w:r>
        <w:rPr>
          <w:lang w:eastAsia="en-US"/>
        </w:rPr>
        <w:t xml:space="preserve">Personal data must be adequate, relevant and limited to what is necessary in relation to the purposes for which it is processed.  </w:t>
      </w:r>
    </w:p>
    <w:p w14:paraId="40FCCDEC" w14:textId="77777777" w:rsidR="00EE27C5" w:rsidRDefault="00EE27C5" w:rsidP="00A3605C">
      <w:pPr>
        <w:pStyle w:val="ListParagraph"/>
        <w:numPr>
          <w:ilvl w:val="1"/>
          <w:numId w:val="3"/>
        </w:numPr>
        <w:rPr>
          <w:lang w:eastAsia="en-US"/>
        </w:rPr>
      </w:pPr>
      <w:r>
        <w:rPr>
          <w:lang w:eastAsia="en-US"/>
        </w:rPr>
        <w:t xml:space="preserve">Staff may only process data when their role requires it.  Staff must not process personal data for any reason unrelated to their role.  </w:t>
      </w:r>
    </w:p>
    <w:p w14:paraId="41AC5D4E" w14:textId="33F586CC" w:rsidR="00EE27C5" w:rsidRDefault="00EE27C5" w:rsidP="00A3605C">
      <w:pPr>
        <w:pStyle w:val="ListParagraph"/>
        <w:numPr>
          <w:ilvl w:val="1"/>
          <w:numId w:val="3"/>
        </w:numPr>
        <w:rPr>
          <w:lang w:eastAsia="en-US"/>
        </w:rPr>
      </w:pPr>
      <w:r>
        <w:rPr>
          <w:lang w:eastAsia="en-US"/>
        </w:rPr>
        <w:t xml:space="preserve">The School will attempt to maintain a Retention Schedule to ensure personal data is deleted after a reasonable time for the purpose for which it was being held, unless a law requires such data to be kept for a minimum time.  Staff must take all reasonable steps to destroy or delete all personal data that is held in its systems when it is no longer required in accordance with the Schedule.  This includes requiring third parties to delete such data where applicable.  </w:t>
      </w:r>
    </w:p>
    <w:p w14:paraId="060F05AC" w14:textId="06D9CE66" w:rsidR="00EE27C5" w:rsidRPr="00EE27C5" w:rsidRDefault="00EE27C5" w:rsidP="00A3605C">
      <w:pPr>
        <w:pStyle w:val="ListParagraph"/>
        <w:numPr>
          <w:ilvl w:val="1"/>
          <w:numId w:val="3"/>
        </w:numPr>
        <w:rPr>
          <w:lang w:eastAsia="en-US"/>
        </w:rPr>
      </w:pPr>
      <w:r>
        <w:rPr>
          <w:lang w:eastAsia="en-US"/>
        </w:rPr>
        <w:t>Staff must ensure that data subjects are informed of the period for which data is and how that period is determined in any applicable Privacy Notice.</w:t>
      </w:r>
    </w:p>
    <w:p w14:paraId="059F1C7E" w14:textId="2BAFA584" w:rsidR="007A359A" w:rsidRDefault="007A359A" w:rsidP="00A3605C">
      <w:pPr>
        <w:pStyle w:val="Heading1"/>
        <w:numPr>
          <w:ilvl w:val="0"/>
          <w:numId w:val="3"/>
        </w:numPr>
      </w:pPr>
      <w:bookmarkStart w:id="10" w:name="_Toc51515071"/>
      <w:r w:rsidRPr="007A359A">
        <w:t>ACCURACY</w:t>
      </w:r>
      <w:bookmarkEnd w:id="10"/>
    </w:p>
    <w:p w14:paraId="5F633299" w14:textId="77777777" w:rsidR="001E35B5" w:rsidRPr="008C0621" w:rsidRDefault="001E35B5" w:rsidP="00A3605C">
      <w:pPr>
        <w:pStyle w:val="ListParagraph"/>
        <w:numPr>
          <w:ilvl w:val="1"/>
          <w:numId w:val="3"/>
        </w:numPr>
      </w:pPr>
      <w:r>
        <w:t xml:space="preserve">The school will endeavour to ensure that all data gathered and inputted into our electronic systems is transcribed accurately. </w:t>
      </w:r>
    </w:p>
    <w:p w14:paraId="3CD00ACB" w14:textId="6A25884B" w:rsidR="001E35B5" w:rsidRDefault="001E35B5" w:rsidP="00A3605C">
      <w:pPr>
        <w:pStyle w:val="ListParagraph"/>
        <w:numPr>
          <w:ilvl w:val="1"/>
          <w:numId w:val="3"/>
        </w:numPr>
      </w:pPr>
      <w:r>
        <w:t>An individual has the right to check the data held about them and to identify any portions that are inaccurate and the right to ensure that any discrepancies are adjusted.</w:t>
      </w:r>
    </w:p>
    <w:p w14:paraId="3FAD8073" w14:textId="0BD63BFA" w:rsidR="00D9041F" w:rsidRDefault="00D9041F" w:rsidP="00A3605C">
      <w:pPr>
        <w:pStyle w:val="Heading1"/>
        <w:numPr>
          <w:ilvl w:val="0"/>
          <w:numId w:val="3"/>
        </w:numPr>
      </w:pPr>
      <w:bookmarkStart w:id="11" w:name="_Toc51515072"/>
      <w:r w:rsidRPr="00D9041F">
        <w:t>DATA BREACHES</w:t>
      </w:r>
      <w:bookmarkEnd w:id="11"/>
    </w:p>
    <w:p w14:paraId="34C7A702" w14:textId="0DDCB7F4" w:rsidR="00D9041F" w:rsidRPr="00D9041F" w:rsidRDefault="00D9041F" w:rsidP="00D9041F">
      <w:pPr>
        <w:ind w:left="426"/>
        <w:rPr>
          <w:lang w:eastAsia="en-US"/>
        </w:rPr>
      </w:pPr>
      <w:r>
        <w:rPr>
          <w:lang w:eastAsia="en-US"/>
        </w:rPr>
        <w:t>Data breaches will be dealt with in accordance with EJS Data Breach Procedure document</w:t>
      </w:r>
    </w:p>
    <w:p w14:paraId="51A68660" w14:textId="611B53EB" w:rsidR="007A359A" w:rsidRDefault="007A359A" w:rsidP="00A3605C">
      <w:pPr>
        <w:pStyle w:val="Heading1"/>
        <w:numPr>
          <w:ilvl w:val="0"/>
          <w:numId w:val="3"/>
        </w:numPr>
      </w:pPr>
      <w:bookmarkStart w:id="12" w:name="_Toc51515073"/>
      <w:r w:rsidRPr="007A359A">
        <w:t>STORAGE LIMITATION</w:t>
      </w:r>
      <w:bookmarkEnd w:id="12"/>
    </w:p>
    <w:p w14:paraId="7855E40F" w14:textId="77777777" w:rsidR="00D9041F" w:rsidRPr="00B217A4" w:rsidRDefault="00D9041F" w:rsidP="00A3605C">
      <w:pPr>
        <w:pStyle w:val="ListParagraph"/>
        <w:numPr>
          <w:ilvl w:val="1"/>
          <w:numId w:val="3"/>
        </w:numPr>
        <w:rPr>
          <w:rFonts w:cstheme="minorHAnsi"/>
        </w:rPr>
      </w:pPr>
      <w:r w:rsidRPr="00B217A4">
        <w:rPr>
          <w:rFonts w:cstheme="minorHAnsi"/>
        </w:rPr>
        <w:t>Personal data will be kept securely in accordance with the school’s data protection obligations.</w:t>
      </w:r>
    </w:p>
    <w:p w14:paraId="3224528E" w14:textId="0C3EDE57" w:rsidR="00D9041F" w:rsidRPr="00B217A4" w:rsidRDefault="00D9041F" w:rsidP="00A3605C">
      <w:pPr>
        <w:pStyle w:val="ListParagraph"/>
        <w:numPr>
          <w:ilvl w:val="1"/>
          <w:numId w:val="3"/>
        </w:numPr>
        <w:rPr>
          <w:rFonts w:cstheme="minorHAnsi"/>
        </w:rPr>
      </w:pPr>
      <w:r w:rsidRPr="00B217A4">
        <w:rPr>
          <w:rFonts w:cstheme="minorHAnsi"/>
        </w:rPr>
        <w:t>Personal data should not be retained for any longer than necessary.  The length of time data should be retained will depend upon the circumstances, including the reasons why personal data was obtained.</w:t>
      </w:r>
    </w:p>
    <w:p w14:paraId="64DC21BE" w14:textId="77777777" w:rsidR="00D9041F" w:rsidRPr="00B217A4" w:rsidRDefault="00D9041F" w:rsidP="00A3605C">
      <w:pPr>
        <w:pStyle w:val="ListParagraph"/>
        <w:numPr>
          <w:ilvl w:val="1"/>
          <w:numId w:val="3"/>
        </w:numPr>
        <w:rPr>
          <w:rFonts w:cstheme="minorHAnsi"/>
        </w:rPr>
      </w:pPr>
      <w:r w:rsidRPr="00B217A4">
        <w:rPr>
          <w:rFonts w:cstheme="minorHAnsi"/>
        </w:rPr>
        <w:t>Personal information that is no longer required will be deleted in accordance with the Schools Record Retention Schedule.</w:t>
      </w:r>
    </w:p>
    <w:p w14:paraId="1B5012FD" w14:textId="6517806B" w:rsidR="00CE04E6" w:rsidRPr="007A359A" w:rsidRDefault="00CE04E6" w:rsidP="00A3605C">
      <w:pPr>
        <w:pStyle w:val="Heading1"/>
        <w:numPr>
          <w:ilvl w:val="0"/>
          <w:numId w:val="3"/>
        </w:numPr>
      </w:pPr>
      <w:bookmarkStart w:id="13" w:name="_Toc51515074"/>
      <w:r w:rsidRPr="007A359A">
        <w:t>PURPOSE LIMITATION</w:t>
      </w:r>
      <w:bookmarkEnd w:id="13"/>
    </w:p>
    <w:p w14:paraId="71BB5550" w14:textId="77777777" w:rsidR="00CE04E6" w:rsidRPr="00062037" w:rsidRDefault="00CE04E6" w:rsidP="00A3605C">
      <w:pPr>
        <w:pStyle w:val="ListParagraph"/>
        <w:numPr>
          <w:ilvl w:val="1"/>
          <w:numId w:val="3"/>
        </w:numPr>
      </w:pPr>
      <w:r w:rsidRPr="00062037">
        <w:t xml:space="preserve">Personal data must be collected only for specified, explicit and legitimate purposes.  It must not be further processed in any manner incompatible with those purposes.  </w:t>
      </w:r>
    </w:p>
    <w:p w14:paraId="365EE671" w14:textId="2327FC93" w:rsidR="00CE04E6" w:rsidRPr="00062037" w:rsidRDefault="00CE04E6" w:rsidP="00A3605C">
      <w:pPr>
        <w:pStyle w:val="ListParagraph"/>
        <w:numPr>
          <w:ilvl w:val="1"/>
          <w:numId w:val="3"/>
        </w:numPr>
      </w:pPr>
      <w:r w:rsidRPr="00062037">
        <w:t>Personal data must not be used for new, different or incompatible purposes from that disclosed when it was first obtained unless the data subject has been informed of the new purposes and they have consented where necessary.</w:t>
      </w:r>
    </w:p>
    <w:p w14:paraId="50115B1C" w14:textId="1A6DF7DD" w:rsidR="00C16565" w:rsidRDefault="00C16565" w:rsidP="00A3605C">
      <w:pPr>
        <w:pStyle w:val="Heading1"/>
        <w:numPr>
          <w:ilvl w:val="0"/>
          <w:numId w:val="3"/>
        </w:numPr>
      </w:pPr>
      <w:bookmarkStart w:id="14" w:name="_Toc51515075"/>
      <w:r w:rsidRPr="00C16565">
        <w:t>INTEGRITY</w:t>
      </w:r>
      <w:r w:rsidR="001E35B5">
        <w:t xml:space="preserve">, </w:t>
      </w:r>
      <w:r w:rsidRPr="00C16565">
        <w:t>CONFIDENTIALITY</w:t>
      </w:r>
      <w:r w:rsidR="001E35B5">
        <w:t xml:space="preserve"> AND AVAILABILITY</w:t>
      </w:r>
      <w:bookmarkEnd w:id="14"/>
    </w:p>
    <w:p w14:paraId="58D6A0C9" w14:textId="77777777" w:rsidR="00EE27C5" w:rsidRPr="00EE27C5" w:rsidRDefault="00EE27C5" w:rsidP="00EE27C5">
      <w:pPr>
        <w:ind w:left="360"/>
      </w:pPr>
      <w:r w:rsidRPr="00EE27C5">
        <w:t xml:space="preserve">Staff must maintain data security by protecting the </w:t>
      </w:r>
      <w:r w:rsidRPr="001E35B5">
        <w:rPr>
          <w:bCs/>
        </w:rPr>
        <w:t>confidentiality, integrity and availability</w:t>
      </w:r>
      <w:r w:rsidRPr="00EE27C5">
        <w:rPr>
          <w:b/>
        </w:rPr>
        <w:t xml:space="preserve"> </w:t>
      </w:r>
      <w:r w:rsidRPr="00EE27C5">
        <w:t>of the personal data, defined as follows:</w:t>
      </w:r>
    </w:p>
    <w:p w14:paraId="71C1649F" w14:textId="77777777" w:rsidR="00EE27C5" w:rsidRPr="001E35B5" w:rsidRDefault="00EE27C5" w:rsidP="00A3605C">
      <w:pPr>
        <w:pStyle w:val="ListParagraph"/>
        <w:numPr>
          <w:ilvl w:val="1"/>
          <w:numId w:val="3"/>
        </w:numPr>
        <w:rPr>
          <w:bCs/>
        </w:rPr>
      </w:pPr>
      <w:r w:rsidRPr="001E35B5">
        <w:rPr>
          <w:bCs/>
        </w:rPr>
        <w:t>Confidentiality means that only people who have a need to know and are authorised to use the personal data can access it.</w:t>
      </w:r>
    </w:p>
    <w:p w14:paraId="2222C565" w14:textId="77777777" w:rsidR="00EE27C5" w:rsidRPr="001E35B5" w:rsidRDefault="00EE27C5" w:rsidP="00A3605C">
      <w:pPr>
        <w:pStyle w:val="ListParagraph"/>
        <w:numPr>
          <w:ilvl w:val="1"/>
          <w:numId w:val="3"/>
        </w:numPr>
        <w:rPr>
          <w:bCs/>
        </w:rPr>
      </w:pPr>
      <w:r w:rsidRPr="001E35B5">
        <w:rPr>
          <w:bCs/>
        </w:rPr>
        <w:t>Integrity means that personal data is accurate and suitable for the purpose for which it is processed.</w:t>
      </w:r>
    </w:p>
    <w:p w14:paraId="611AB675" w14:textId="0B247D9D" w:rsidR="00EE27C5" w:rsidRPr="001E35B5" w:rsidRDefault="00EE27C5" w:rsidP="00A3605C">
      <w:pPr>
        <w:pStyle w:val="ListParagraph"/>
        <w:numPr>
          <w:ilvl w:val="1"/>
          <w:numId w:val="3"/>
        </w:numPr>
        <w:rPr>
          <w:bCs/>
          <w:lang w:eastAsia="en-US"/>
        </w:rPr>
      </w:pPr>
      <w:r w:rsidRPr="001E35B5">
        <w:rPr>
          <w:bCs/>
        </w:rPr>
        <w:t>Availability means that authorised users can access the personal data when they need it for authorised purposes</w:t>
      </w:r>
    </w:p>
    <w:p w14:paraId="2D7642D9" w14:textId="30956EB9" w:rsidR="007C5287" w:rsidRDefault="003B34CF" w:rsidP="007C5287">
      <w:pPr>
        <w:pStyle w:val="Heading1"/>
        <w:numPr>
          <w:ilvl w:val="0"/>
          <w:numId w:val="3"/>
        </w:numPr>
      </w:pPr>
      <w:bookmarkStart w:id="15" w:name="_Toc51515076"/>
      <w:r>
        <w:t>INFORMATION SHARING</w:t>
      </w:r>
      <w:bookmarkEnd w:id="15"/>
    </w:p>
    <w:p w14:paraId="6FC58D17" w14:textId="6BF27E8A" w:rsidR="003B34CF" w:rsidRDefault="005759B1" w:rsidP="003B34CF">
      <w:pPr>
        <w:rPr>
          <w:lang w:eastAsia="en-US"/>
        </w:rPr>
      </w:pPr>
      <w:r>
        <w:rPr>
          <w:lang w:eastAsia="en-US"/>
        </w:rPr>
        <w:t xml:space="preserve">From </w:t>
      </w:r>
      <w:hyperlink r:id="rId8" w:history="1">
        <w:r w:rsidR="00F5185C" w:rsidRPr="00F5185C">
          <w:rPr>
            <w:color w:val="0000FF"/>
            <w:u w:val="single"/>
          </w:rPr>
          <w:t>Keeping children safe in education - GOV.UK (www.gov.uk)</w:t>
        </w:r>
      </w:hyperlink>
    </w:p>
    <w:p w14:paraId="41DD3BCE" w14:textId="19A99A9B" w:rsidR="00A24A5A" w:rsidRDefault="00A24A5A" w:rsidP="00A24A5A">
      <w:pPr>
        <w:ind w:left="284"/>
        <w:rPr>
          <w:i/>
          <w:iCs/>
          <w:sz w:val="22"/>
          <w:szCs w:val="22"/>
          <w:lang w:eastAsia="en-US"/>
        </w:rPr>
      </w:pPr>
      <w:r w:rsidRPr="00A24A5A">
        <w:rPr>
          <w:i/>
          <w:iCs/>
          <w:sz w:val="22"/>
          <w:szCs w:val="22"/>
          <w:lang w:eastAsia="en-US"/>
        </w:rPr>
        <w:t>Information sharing is vital in identifying and tackling all forms of abuse and neglect. 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the three safeguarding partners, other organisations, agencies and practitioners as required. School and college staff should be proactive in sharing information as early as possible to help identify, assess and respond to risks or concerns about the safety and welfare of children, whether this is when problems are first emerging, or where a child is</w:t>
      </w:r>
      <w:r w:rsidR="00D92CED">
        <w:rPr>
          <w:i/>
          <w:iCs/>
          <w:sz w:val="22"/>
          <w:szCs w:val="22"/>
          <w:lang w:eastAsia="en-US"/>
        </w:rPr>
        <w:t xml:space="preserve"> </w:t>
      </w:r>
      <w:r w:rsidRPr="00A24A5A">
        <w:rPr>
          <w:i/>
          <w:iCs/>
          <w:sz w:val="22"/>
          <w:szCs w:val="22"/>
          <w:lang w:eastAsia="en-US"/>
        </w:rPr>
        <w:t>already known to the local authority children’s social care.</w:t>
      </w:r>
    </w:p>
    <w:p w14:paraId="1A9CFDE8" w14:textId="77777777" w:rsidR="004A0D89" w:rsidRDefault="004A0D89" w:rsidP="00A24A5A">
      <w:pPr>
        <w:ind w:left="284"/>
        <w:rPr>
          <w:i/>
          <w:iCs/>
          <w:sz w:val="22"/>
          <w:szCs w:val="22"/>
          <w:lang w:eastAsia="en-US"/>
        </w:rPr>
      </w:pPr>
    </w:p>
    <w:p w14:paraId="3F02E6CE" w14:textId="3C46EE7F" w:rsidR="00D92CED" w:rsidRDefault="00086364" w:rsidP="00F01087">
      <w:pPr>
        <w:pStyle w:val="ListParagraph"/>
        <w:numPr>
          <w:ilvl w:val="1"/>
          <w:numId w:val="3"/>
        </w:numPr>
        <w:rPr>
          <w:lang w:eastAsia="en-US"/>
        </w:rPr>
      </w:pPr>
      <w:r>
        <w:rPr>
          <w:lang w:eastAsia="en-US"/>
        </w:rPr>
        <w:t xml:space="preserve">Edward Jenner School is aware of </w:t>
      </w:r>
      <w:r w:rsidR="00B14469">
        <w:rPr>
          <w:lang w:eastAsia="en-US"/>
        </w:rPr>
        <w:t>its</w:t>
      </w:r>
      <w:r w:rsidRPr="00086364">
        <w:rPr>
          <w:lang w:eastAsia="en-US"/>
        </w:rPr>
        <w:t xml:space="preserve"> obligations</w:t>
      </w:r>
      <w:r w:rsidR="00B14469">
        <w:rPr>
          <w:lang w:eastAsia="en-US"/>
        </w:rPr>
        <w:t xml:space="preserve"> </w:t>
      </w:r>
      <w:r>
        <w:rPr>
          <w:lang w:eastAsia="en-US"/>
        </w:rPr>
        <w:t>under</w:t>
      </w:r>
      <w:r w:rsidRPr="00086364">
        <w:rPr>
          <w:lang w:eastAsia="en-US"/>
        </w:rPr>
        <w:t xml:space="preserve"> the Data Protection Act 2018 and </w:t>
      </w:r>
      <w:r w:rsidR="00B14469">
        <w:rPr>
          <w:lang w:eastAsia="en-US"/>
        </w:rPr>
        <w:t xml:space="preserve">that </w:t>
      </w:r>
      <w:r w:rsidRPr="00086364">
        <w:rPr>
          <w:lang w:eastAsia="en-US"/>
        </w:rPr>
        <w:t>the GDPR place</w:t>
      </w:r>
      <w:r w:rsidR="00B864E9">
        <w:rPr>
          <w:lang w:eastAsia="en-US"/>
        </w:rPr>
        <w:t>s</w:t>
      </w:r>
      <w:r w:rsidRPr="00086364">
        <w:rPr>
          <w:lang w:eastAsia="en-US"/>
        </w:rPr>
        <w:t xml:space="preserve"> duties on </w:t>
      </w:r>
      <w:r w:rsidR="006A352E">
        <w:rPr>
          <w:lang w:eastAsia="en-US"/>
        </w:rPr>
        <w:t xml:space="preserve">us </w:t>
      </w:r>
      <w:r w:rsidRPr="00086364">
        <w:rPr>
          <w:lang w:eastAsia="en-US"/>
        </w:rPr>
        <w:t xml:space="preserve">to process personal information fairly and lawfully and to keep the information </w:t>
      </w:r>
      <w:r w:rsidR="00044A9C">
        <w:rPr>
          <w:lang w:eastAsia="en-US"/>
        </w:rPr>
        <w:t xml:space="preserve">we </w:t>
      </w:r>
      <w:r w:rsidRPr="00086364">
        <w:rPr>
          <w:lang w:eastAsia="en-US"/>
        </w:rPr>
        <w:t>hold safe and secure.</w:t>
      </w:r>
    </w:p>
    <w:p w14:paraId="52421D26" w14:textId="77777777" w:rsidR="000E45A5" w:rsidRDefault="00712E0E" w:rsidP="00F01087">
      <w:pPr>
        <w:pStyle w:val="ListParagraph"/>
        <w:numPr>
          <w:ilvl w:val="1"/>
          <w:numId w:val="3"/>
        </w:numPr>
        <w:rPr>
          <w:lang w:eastAsia="en-US"/>
        </w:rPr>
      </w:pPr>
      <w:r>
        <w:rPr>
          <w:lang w:eastAsia="en-US"/>
        </w:rPr>
        <w:t>Edward Jenner School</w:t>
      </w:r>
      <w:r w:rsidR="005D0573" w:rsidRPr="005D0573">
        <w:rPr>
          <w:lang w:eastAsia="en-US"/>
        </w:rPr>
        <w:t xml:space="preserve"> staff have </w:t>
      </w:r>
      <w:r>
        <w:rPr>
          <w:lang w:eastAsia="en-US"/>
        </w:rPr>
        <w:t xml:space="preserve">been trained to have </w:t>
      </w:r>
      <w:r w:rsidR="005D0573" w:rsidRPr="005D0573">
        <w:rPr>
          <w:lang w:eastAsia="en-US"/>
        </w:rPr>
        <w:t>due regard to the relevant data protection principles, which allow them to share (and withhold) personal</w:t>
      </w:r>
      <w:r w:rsidR="00391180">
        <w:rPr>
          <w:lang w:eastAsia="en-US"/>
        </w:rPr>
        <w:t xml:space="preserve"> </w:t>
      </w:r>
      <w:r w:rsidR="00391180" w:rsidRPr="00391180">
        <w:rPr>
          <w:lang w:eastAsia="en-US"/>
        </w:rPr>
        <w:t xml:space="preserve">information, as provided for in the Data Protection Act 2018 and the GDPR. </w:t>
      </w:r>
      <w:r w:rsidR="000E45A5">
        <w:rPr>
          <w:lang w:eastAsia="en-US"/>
        </w:rPr>
        <w:t>I</w:t>
      </w:r>
      <w:r w:rsidR="00391180" w:rsidRPr="00391180">
        <w:rPr>
          <w:lang w:eastAsia="en-US"/>
        </w:rPr>
        <w:t>nclud</w:t>
      </w:r>
      <w:r w:rsidR="000E45A5">
        <w:rPr>
          <w:lang w:eastAsia="en-US"/>
        </w:rPr>
        <w:t>ing</w:t>
      </w:r>
      <w:r w:rsidR="00391180" w:rsidRPr="00391180">
        <w:rPr>
          <w:lang w:eastAsia="en-US"/>
        </w:rPr>
        <w:t>:</w:t>
      </w:r>
    </w:p>
    <w:p w14:paraId="768B7AD9" w14:textId="77777777" w:rsidR="00D90AA1" w:rsidRDefault="00391180" w:rsidP="000E45A5">
      <w:pPr>
        <w:pStyle w:val="ListParagraph"/>
        <w:numPr>
          <w:ilvl w:val="2"/>
          <w:numId w:val="3"/>
        </w:numPr>
        <w:rPr>
          <w:lang w:eastAsia="en-US"/>
        </w:rPr>
      </w:pPr>
      <w:r w:rsidRPr="00391180">
        <w:rPr>
          <w:lang w:eastAsia="en-US"/>
        </w:rPr>
        <w:t>being confident of the processing conditions which allow them to store and share information for safeguarding purposes, including information which is sensitive and personal, and should be treated as ‘special category personal data’.</w:t>
      </w:r>
    </w:p>
    <w:p w14:paraId="1849801D" w14:textId="77777777" w:rsidR="00112E26" w:rsidRDefault="00391180" w:rsidP="000E45A5">
      <w:pPr>
        <w:pStyle w:val="ListParagraph"/>
        <w:numPr>
          <w:ilvl w:val="2"/>
          <w:numId w:val="3"/>
        </w:numPr>
        <w:rPr>
          <w:lang w:eastAsia="en-US"/>
        </w:rPr>
      </w:pPr>
      <w:r w:rsidRPr="00391180">
        <w:rPr>
          <w:lang w:eastAsia="en-US"/>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 </w:t>
      </w:r>
    </w:p>
    <w:p w14:paraId="26797BCD" w14:textId="369583F2" w:rsidR="005D0573" w:rsidRDefault="00391180" w:rsidP="000E45A5">
      <w:pPr>
        <w:pStyle w:val="ListParagraph"/>
        <w:numPr>
          <w:ilvl w:val="2"/>
          <w:numId w:val="3"/>
        </w:numPr>
        <w:rPr>
          <w:lang w:eastAsia="en-US"/>
        </w:rPr>
      </w:pPr>
      <w:r w:rsidRPr="00391180">
        <w:rPr>
          <w:lang w:eastAsia="en-US"/>
        </w:rPr>
        <w:t>for schools, not providing pupils’ personal data where the serious harm test under the legislation is met26. For example, in a situation where a child is in a refuge or another form of emergency accommodation, and the serious harms test is met, they must withhold providing the data in compliance with schools’ obligations under the Data Protection Act 2018 and the GDPR. Where in doubt schools should seek independent legal advice</w:t>
      </w:r>
      <w:r w:rsidR="00DB175B">
        <w:rPr>
          <w:lang w:eastAsia="en-US"/>
        </w:rPr>
        <w:t>.</w:t>
      </w:r>
    </w:p>
    <w:p w14:paraId="20F3B2E2" w14:textId="0D6AA26D" w:rsidR="00DB175B" w:rsidRDefault="00873872" w:rsidP="00873872">
      <w:pPr>
        <w:pStyle w:val="ListParagraph"/>
        <w:numPr>
          <w:ilvl w:val="1"/>
          <w:numId w:val="3"/>
        </w:numPr>
        <w:rPr>
          <w:lang w:eastAsia="en-US"/>
        </w:rPr>
      </w:pPr>
      <w:r w:rsidRPr="00873872">
        <w:rPr>
          <w:lang w:eastAsia="en-US"/>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4EE5DE94" w14:textId="79C18A73" w:rsidR="00873872" w:rsidRDefault="00D2359D" w:rsidP="00873872">
      <w:pPr>
        <w:pStyle w:val="ListParagraph"/>
        <w:numPr>
          <w:ilvl w:val="1"/>
          <w:numId w:val="3"/>
        </w:numPr>
        <w:rPr>
          <w:lang w:eastAsia="en-US"/>
        </w:rPr>
      </w:pPr>
      <w:r w:rsidRPr="00D2359D">
        <w:rPr>
          <w:lang w:eastAsia="en-US"/>
        </w:rPr>
        <w:t>Further details on information sharing can be found:</w:t>
      </w:r>
    </w:p>
    <w:p w14:paraId="6C097548" w14:textId="621E99D5" w:rsidR="001326E2" w:rsidRDefault="001326E2" w:rsidP="00082771">
      <w:pPr>
        <w:pStyle w:val="ListParagraph"/>
        <w:numPr>
          <w:ilvl w:val="2"/>
          <w:numId w:val="13"/>
        </w:numPr>
        <w:rPr>
          <w:lang w:eastAsia="en-US"/>
        </w:rPr>
      </w:pPr>
      <w:r w:rsidRPr="001326E2">
        <w:rPr>
          <w:lang w:eastAsia="en-US"/>
        </w:rPr>
        <w:t xml:space="preserve">in Chapter one of </w:t>
      </w:r>
      <w:hyperlink r:id="rId9" w:history="1">
        <w:r w:rsidRPr="00C25FD3">
          <w:rPr>
            <w:rStyle w:val="Hyperlink"/>
            <w:lang w:eastAsia="en-US"/>
          </w:rPr>
          <w:t>Working Together to Safeguard Children</w:t>
        </w:r>
      </w:hyperlink>
      <w:r w:rsidRPr="001326E2">
        <w:rPr>
          <w:lang w:eastAsia="en-US"/>
        </w:rPr>
        <w:t>, which includes a myth-busting guide to information sharing</w:t>
      </w:r>
    </w:p>
    <w:p w14:paraId="134F8858" w14:textId="3F6EB772" w:rsidR="001326E2" w:rsidRDefault="001326E2" w:rsidP="00082771">
      <w:pPr>
        <w:pStyle w:val="ListParagraph"/>
        <w:numPr>
          <w:ilvl w:val="2"/>
          <w:numId w:val="13"/>
        </w:numPr>
        <w:rPr>
          <w:lang w:eastAsia="en-US"/>
        </w:rPr>
      </w:pPr>
      <w:r w:rsidRPr="001326E2">
        <w:rPr>
          <w:lang w:eastAsia="en-US"/>
        </w:rPr>
        <w:t xml:space="preserve">at Information </w:t>
      </w:r>
      <w:hyperlink r:id="rId10" w:history="1">
        <w:r w:rsidRPr="00317DF3">
          <w:rPr>
            <w:rStyle w:val="Hyperlink"/>
            <w:lang w:eastAsia="en-US"/>
          </w:rPr>
          <w:t>Sharing: Advice for Practitioners Providing Safeguarding Services to Children, Young People, Parents and Carers</w:t>
        </w:r>
      </w:hyperlink>
      <w:r w:rsidRPr="001326E2">
        <w:rPr>
          <w:lang w:eastAsia="en-US"/>
        </w:rPr>
        <w:t>. The seven golden rules for sharing information will be especially useful</w:t>
      </w:r>
    </w:p>
    <w:p w14:paraId="58A2E3D3" w14:textId="3C725D7E" w:rsidR="00BF1D78" w:rsidRDefault="001326E2" w:rsidP="00082771">
      <w:pPr>
        <w:pStyle w:val="ListParagraph"/>
        <w:numPr>
          <w:ilvl w:val="2"/>
          <w:numId w:val="13"/>
        </w:numPr>
        <w:rPr>
          <w:lang w:eastAsia="en-US"/>
        </w:rPr>
      </w:pPr>
      <w:r w:rsidRPr="001326E2">
        <w:rPr>
          <w:lang w:eastAsia="en-US"/>
        </w:rPr>
        <w:t xml:space="preserve">at </w:t>
      </w:r>
      <w:hyperlink r:id="rId11" w:history="1">
        <w:r w:rsidR="00F5185C" w:rsidRPr="00F5185C">
          <w:rPr>
            <w:color w:val="0000FF"/>
            <w:u w:val="single"/>
          </w:rPr>
          <w:t>Guide to the UK General Data Protection Regulation (UK GDPR) | ICO</w:t>
        </w:r>
      </w:hyperlink>
      <w:r w:rsidR="00F5185C">
        <w:t xml:space="preserve"> </w:t>
      </w:r>
      <w:r w:rsidRPr="001326E2">
        <w:rPr>
          <w:lang w:eastAsia="en-US"/>
        </w:rPr>
        <w:t>which includes ICO GDPR FAQs and guidance from the department</w:t>
      </w:r>
    </w:p>
    <w:p w14:paraId="10E96061" w14:textId="39580AFF" w:rsidR="00D2359D" w:rsidRDefault="001326E2" w:rsidP="00082771">
      <w:pPr>
        <w:pStyle w:val="ListParagraph"/>
        <w:numPr>
          <w:ilvl w:val="2"/>
          <w:numId w:val="13"/>
        </w:numPr>
        <w:rPr>
          <w:lang w:eastAsia="en-US"/>
        </w:rPr>
      </w:pPr>
      <w:r w:rsidRPr="001326E2">
        <w:rPr>
          <w:lang w:eastAsia="en-US"/>
        </w:rPr>
        <w:t xml:space="preserve">in </w:t>
      </w:r>
      <w:hyperlink r:id="rId12" w:history="1">
        <w:r w:rsidRPr="00273FD7">
          <w:rPr>
            <w:rStyle w:val="Hyperlink"/>
            <w:lang w:eastAsia="en-US"/>
          </w:rPr>
          <w:t>Data protection: toolkit for schools</w:t>
        </w:r>
      </w:hyperlink>
      <w:r w:rsidRPr="001326E2">
        <w:rPr>
          <w:lang w:eastAsia="en-US"/>
        </w:rPr>
        <w:t xml:space="preserve"> - Guidance to support schools with data protection activity, including compliance with the GDPR</w:t>
      </w:r>
    </w:p>
    <w:p w14:paraId="01AAA9A3" w14:textId="60A6E2B0" w:rsidR="00F45713" w:rsidRDefault="00390A9B" w:rsidP="00390A9B">
      <w:pPr>
        <w:pStyle w:val="ListParagraph"/>
        <w:numPr>
          <w:ilvl w:val="1"/>
          <w:numId w:val="3"/>
        </w:numPr>
        <w:rPr>
          <w:lang w:eastAsia="en-US"/>
        </w:rPr>
      </w:pPr>
      <w:r w:rsidRPr="00390A9B">
        <w:rPr>
          <w:lang w:eastAsia="en-US"/>
        </w:rPr>
        <w:t>Where children leave the school or college, the designated safeguarding lead</w:t>
      </w:r>
      <w:r w:rsidR="00C178DB">
        <w:rPr>
          <w:lang w:eastAsia="en-US"/>
        </w:rPr>
        <w:t xml:space="preserve"> </w:t>
      </w:r>
      <w:r w:rsidR="00984126">
        <w:rPr>
          <w:lang w:eastAsia="en-US"/>
        </w:rPr>
        <w:t>will</w:t>
      </w:r>
      <w:r w:rsidR="00C178DB" w:rsidRPr="00C178DB">
        <w:rPr>
          <w:lang w:eastAsia="en-US"/>
        </w:rPr>
        <w:t xml:space="preserve"> ensure their child protection file is transferred to the new school or college as soon as possible, ensuring secure transit, and </w:t>
      </w:r>
      <w:r w:rsidR="00BF6AB1">
        <w:rPr>
          <w:lang w:eastAsia="en-US"/>
        </w:rPr>
        <w:t xml:space="preserve">a </w:t>
      </w:r>
      <w:r w:rsidR="00C178DB" w:rsidRPr="00C178DB">
        <w:rPr>
          <w:lang w:eastAsia="en-US"/>
        </w:rPr>
        <w:t xml:space="preserve">confirmation of receipt </w:t>
      </w:r>
      <w:r w:rsidR="0022131C">
        <w:rPr>
          <w:lang w:eastAsia="en-US"/>
        </w:rPr>
        <w:t xml:space="preserve">will </w:t>
      </w:r>
      <w:r w:rsidR="00C178DB" w:rsidRPr="00C178DB">
        <w:rPr>
          <w:lang w:eastAsia="en-US"/>
        </w:rPr>
        <w:t>be obtained.</w:t>
      </w:r>
      <w:r w:rsidR="00C178DB">
        <w:rPr>
          <w:lang w:eastAsia="en-US"/>
        </w:rPr>
        <w:t xml:space="preserve"> </w:t>
      </w:r>
      <w:r w:rsidR="00BF6AB1">
        <w:rPr>
          <w:lang w:eastAsia="en-US"/>
        </w:rPr>
        <w:t>T</w:t>
      </w:r>
      <w:r w:rsidR="009E6AEE">
        <w:rPr>
          <w:lang w:eastAsia="en-US"/>
        </w:rPr>
        <w:t>he file will</w:t>
      </w:r>
      <w:r w:rsidR="00C178DB" w:rsidRPr="00C178DB">
        <w:rPr>
          <w:lang w:eastAsia="en-US"/>
        </w:rPr>
        <w:t xml:space="preserve"> be transferred separately from the main pupil file. Receiving schools and colleges should ensure key staff such as designated safeguarding leads and SENCOs or the named person with oversight for SEN in a college, are aware as required.</w:t>
      </w:r>
    </w:p>
    <w:p w14:paraId="3F07BC52" w14:textId="118E4456" w:rsidR="00C178DB" w:rsidRDefault="004A0D89" w:rsidP="00390A9B">
      <w:pPr>
        <w:pStyle w:val="ListParagraph"/>
        <w:numPr>
          <w:ilvl w:val="1"/>
          <w:numId w:val="3"/>
        </w:numPr>
        <w:rPr>
          <w:lang w:eastAsia="en-US"/>
        </w:rPr>
      </w:pPr>
      <w:r w:rsidRPr="004A0D89">
        <w:rPr>
          <w:lang w:eastAsia="en-US"/>
        </w:rPr>
        <w:t xml:space="preserve">In addition to the child protection file, the designated safeguarding lead </w:t>
      </w:r>
      <w:r w:rsidR="009E6AEE">
        <w:rPr>
          <w:lang w:eastAsia="en-US"/>
        </w:rPr>
        <w:t>will</w:t>
      </w:r>
      <w:r w:rsidRPr="004A0D89">
        <w:rPr>
          <w:lang w:eastAsia="en-US"/>
        </w:rPr>
        <w:t xml:space="preserve">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19EF4563" w14:textId="0DEF394F" w:rsidR="007C5287" w:rsidRPr="007C5287" w:rsidRDefault="007801C6" w:rsidP="007C5287">
      <w:pPr>
        <w:pStyle w:val="Heading1"/>
        <w:numPr>
          <w:ilvl w:val="0"/>
          <w:numId w:val="3"/>
        </w:numPr>
      </w:pPr>
      <w:bookmarkStart w:id="16" w:name="_Toc51515077"/>
      <w:r w:rsidRPr="007A359A">
        <w:t>MONITORING</w:t>
      </w:r>
      <w:bookmarkEnd w:id="6"/>
      <w:bookmarkEnd w:id="16"/>
    </w:p>
    <w:p w14:paraId="1AC2AC5B"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Authorised IT staff may inspect any IT equipment owned or leased by the school at any time without prior notice.</w:t>
      </w:r>
    </w:p>
    <w:p w14:paraId="395AF1B5"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 xml:space="preserve">IT authorised staff may monitor, intercept, access, inspect, record and disclose telephone calls, emails, instant messaging, internet/intranet use and any other electronic communications (data, voice, video or image) involving the school’s employees or contractors, without consent, to the extent permitted by law. This may be: </w:t>
      </w:r>
    </w:p>
    <w:p w14:paraId="70F76DA4"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 xml:space="preserve">to confirm or obtain school business related information; </w:t>
      </w:r>
    </w:p>
    <w:p w14:paraId="5F3611F4"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 xml:space="preserve">to confirm or investigate compliance with school policies, standards and procedures; </w:t>
      </w:r>
    </w:p>
    <w:p w14:paraId="385BB4B4"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 xml:space="preserve">to ensure the effective operation of school IT; </w:t>
      </w:r>
    </w:p>
    <w:p w14:paraId="313028EB"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 xml:space="preserve">for quality control or training purposes; </w:t>
      </w:r>
    </w:p>
    <w:p w14:paraId="1F9E9CCF"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to comply with a Subject Access Request under the GDPR 2018;</w:t>
      </w:r>
    </w:p>
    <w:p w14:paraId="22F27815" w14:textId="77777777" w:rsidR="007801C6" w:rsidRPr="000015A4" w:rsidRDefault="007801C6" w:rsidP="00A3605C">
      <w:pPr>
        <w:pStyle w:val="ListParagraph"/>
        <w:numPr>
          <w:ilvl w:val="2"/>
          <w:numId w:val="3"/>
        </w:numPr>
        <w:autoSpaceDE w:val="0"/>
        <w:autoSpaceDN w:val="0"/>
        <w:adjustRightInd w:val="0"/>
        <w:spacing w:before="240"/>
        <w:contextualSpacing/>
        <w:rPr>
          <w:rFonts w:cstheme="minorHAnsi"/>
        </w:rPr>
      </w:pPr>
      <w:r w:rsidRPr="000015A4">
        <w:rPr>
          <w:rFonts w:cstheme="minorHAnsi"/>
        </w:rPr>
        <w:t>to prevent or detect crime.</w:t>
      </w:r>
    </w:p>
    <w:p w14:paraId="4AF59106"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IT authorised staff may, without prior notice, access the email or voicemail account where applicable, of someone who is absent in order to deal with any business related issues retained on that account.</w:t>
      </w:r>
    </w:p>
    <w:p w14:paraId="49C97363"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All monitoring, surveillance or investigative activities are conducted by ICT authorised staff and comply with the GDPR2018, the Human Rights Act 1998, the Regulation of Investigatory Powers Act 2000 (RIPA) and the Lawful Business Practice Regulations 2000.</w:t>
      </w:r>
    </w:p>
    <w:p w14:paraId="505C7F7F"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Please note that personal communications using school IT may be unavoidably included in any business communications that are monitored, intercepted and/or recorded.</w:t>
      </w:r>
      <w:bookmarkStart w:id="17" w:name="_Toc494653127"/>
    </w:p>
    <w:p w14:paraId="0793FF82" w14:textId="022FC3AE" w:rsidR="007801C6" w:rsidRPr="007A359A" w:rsidRDefault="000015A4" w:rsidP="00A3605C">
      <w:pPr>
        <w:pStyle w:val="Heading1"/>
        <w:numPr>
          <w:ilvl w:val="0"/>
          <w:numId w:val="3"/>
        </w:numPr>
      </w:pPr>
      <w:bookmarkStart w:id="18" w:name="_Toc51515078"/>
      <w:r w:rsidRPr="007A359A">
        <w:t>DATA BREACH PROCEDURES</w:t>
      </w:r>
      <w:bookmarkEnd w:id="17"/>
      <w:bookmarkEnd w:id="18"/>
    </w:p>
    <w:p w14:paraId="0A75D743" w14:textId="1B2BCF26" w:rsidR="00594FAF" w:rsidRPr="00594FAF" w:rsidRDefault="007801C6" w:rsidP="00A3605C">
      <w:pPr>
        <w:pStyle w:val="ListParagraph"/>
        <w:numPr>
          <w:ilvl w:val="1"/>
          <w:numId w:val="3"/>
        </w:numPr>
        <w:spacing w:before="240"/>
        <w:rPr>
          <w:rFonts w:cstheme="minorHAnsi"/>
          <w:b/>
          <w:bCs/>
          <w:i/>
          <w:color w:val="000000"/>
          <w:szCs w:val="22"/>
        </w:rPr>
      </w:pPr>
      <w:r w:rsidRPr="00EE27C5">
        <w:rPr>
          <w:rFonts w:cstheme="minorHAnsi"/>
          <w:i/>
          <w:color w:val="000000"/>
          <w:szCs w:val="22"/>
        </w:rPr>
        <w:t>Notification to the relevant supervisory authority of a breach only</w:t>
      </w:r>
      <w:r w:rsidRPr="000015A4">
        <w:rPr>
          <w:rFonts w:cstheme="minorHAnsi"/>
          <w:i/>
          <w:color w:val="000000"/>
          <w:szCs w:val="22"/>
        </w:rPr>
        <w:t xml:space="preserve"> need occur where it is likely to result in a risk to the rights and freedoms of individuals. If unaddressed such a breach is likely to have a significant detrimental effect on individuals – for example, result in discrimination, damage to reputation, financial loss, loss of confidentiality or any other significant economic or social disadvantage.</w:t>
      </w:r>
      <w:r w:rsidR="00594FAF">
        <w:rPr>
          <w:rFonts w:cstheme="minorHAnsi"/>
          <w:i/>
          <w:color w:val="000000"/>
          <w:szCs w:val="22"/>
        </w:rPr>
        <w:t xml:space="preserve"> </w:t>
      </w:r>
      <w:hyperlink r:id="rId13" w:history="1">
        <w:r w:rsidR="00594FAF" w:rsidRPr="004C64E0">
          <w:rPr>
            <w:rStyle w:val="Hyperlink"/>
            <w:rFonts w:cstheme="minorHAnsi"/>
            <w:i/>
            <w:szCs w:val="22"/>
          </w:rPr>
          <w:t>https://ico.org.uk/for-organisations/guide-to-data-protection/guide-to-</w:t>
        </w:r>
        <w:r w:rsidR="00594FAF" w:rsidRPr="004C64E0">
          <w:rPr>
            <w:rStyle w:val="Hyperlink"/>
            <w:rFonts w:cstheme="minorHAnsi"/>
            <w:i/>
            <w:szCs w:val="22"/>
          </w:rPr>
          <w:t>t</w:t>
        </w:r>
        <w:r w:rsidR="00594FAF" w:rsidRPr="004C64E0">
          <w:rPr>
            <w:rStyle w:val="Hyperlink"/>
            <w:rFonts w:cstheme="minorHAnsi"/>
            <w:i/>
            <w:szCs w:val="22"/>
          </w:rPr>
          <w:t>he-general-data-protection-regulation-gdpr</w:t>
        </w:r>
      </w:hyperlink>
    </w:p>
    <w:p w14:paraId="372AD525" w14:textId="52B87BE5" w:rsidR="007801C6" w:rsidRPr="00062037" w:rsidRDefault="00594FAF" w:rsidP="00594FAF">
      <w:pPr>
        <w:pStyle w:val="ListParagraph"/>
        <w:spacing w:before="240"/>
        <w:ind w:left="792"/>
        <w:rPr>
          <w:rFonts w:cstheme="minorHAnsi"/>
          <w:b/>
          <w:bCs/>
          <w:i/>
          <w:color w:val="000000"/>
          <w:szCs w:val="22"/>
        </w:rPr>
      </w:pPr>
      <w:r w:rsidRPr="00062037">
        <w:rPr>
          <w:rFonts w:cstheme="minorHAnsi"/>
          <w:b/>
          <w:bCs/>
          <w:i/>
          <w:color w:val="000000"/>
          <w:szCs w:val="22"/>
        </w:rPr>
        <w:t xml:space="preserve"> </w:t>
      </w:r>
    </w:p>
    <w:p w14:paraId="013FC5AF"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14:paraId="068F8ADE"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 personal data breach can be broadly defined as a security incident that has affected the confidentiality, integrity or availability of personal data. In short, 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p>
    <w:p w14:paraId="4BCF1448"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 personal data breach may include:</w:t>
      </w:r>
    </w:p>
    <w:p w14:paraId="6249E4E1"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access by an unauthorised third party;</w:t>
      </w:r>
    </w:p>
    <w:p w14:paraId="47DE7AB5"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deliberate or accidental action (or inaction) by a controller or processor;</w:t>
      </w:r>
    </w:p>
    <w:p w14:paraId="3D164BF8"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sending personal data to an incorrect recipient;</w:t>
      </w:r>
    </w:p>
    <w:p w14:paraId="1B6D373F"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 xml:space="preserve">computing devices containing personal data being lost or stolen; </w:t>
      </w:r>
    </w:p>
    <w:p w14:paraId="47ED30AC"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alteration of personal data without permission; and</w:t>
      </w:r>
    </w:p>
    <w:p w14:paraId="71710694" w14:textId="77777777" w:rsidR="007801C6" w:rsidRPr="000015A4" w:rsidRDefault="007801C6" w:rsidP="00A3605C">
      <w:pPr>
        <w:pStyle w:val="ListParagraph"/>
        <w:numPr>
          <w:ilvl w:val="3"/>
          <w:numId w:val="3"/>
        </w:numPr>
        <w:autoSpaceDE w:val="0"/>
        <w:autoSpaceDN w:val="0"/>
        <w:adjustRightInd w:val="0"/>
        <w:spacing w:before="240"/>
        <w:contextualSpacing/>
        <w:rPr>
          <w:rFonts w:cstheme="minorHAnsi"/>
        </w:rPr>
      </w:pPr>
      <w:r w:rsidRPr="000015A4">
        <w:rPr>
          <w:rFonts w:cstheme="minorHAnsi"/>
        </w:rPr>
        <w:t>loss of availability of personal data.</w:t>
      </w:r>
    </w:p>
    <w:p w14:paraId="181662A4"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A breach or suspected breach of policy by a school employee, contractor or pupil may result in the temporary or permanent withdrawal of school IT hardware, software or services from the offending individual.</w:t>
      </w:r>
    </w:p>
    <w:p w14:paraId="2DD2DF42"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Recital 87 of the GDPR makes clear that ‘when a security incident takes place, you should quickly establish whether a personal data breach has occurred and, if so, promptly take steps to address it, including telling the ICO if required.’ See Appendix for detailed procedures</w:t>
      </w:r>
    </w:p>
    <w:p w14:paraId="0DCBAADD" w14:textId="515ECCA8"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 xml:space="preserve">The response plan for addressing any personal data breaches that occur is in appendix </w:t>
      </w:r>
      <w:r w:rsidR="00EE27C5">
        <w:rPr>
          <w:rFonts w:cstheme="minorHAnsi"/>
        </w:rPr>
        <w:t>1</w:t>
      </w:r>
      <w:r w:rsidRPr="000015A4">
        <w:rPr>
          <w:rFonts w:cstheme="minorHAnsi"/>
        </w:rPr>
        <w:t xml:space="preserve"> below</w:t>
      </w:r>
    </w:p>
    <w:p w14:paraId="5966A97D"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Responsibility for managing breaches is with Mr Phil Brookes</w:t>
      </w:r>
    </w:p>
    <w:p w14:paraId="52810C02"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Our staff know how to escalate a security incident to the appropriate person or team in our organisation to determine whether a breach has occurred.</w:t>
      </w:r>
    </w:p>
    <w:p w14:paraId="62CA5136"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For staff any policy breach is grounds for disciplinary action in accordance with the school Disciplinary Procedure or, for Support Staff, in their Probationary Period as stated.</w:t>
      </w:r>
    </w:p>
    <w:p w14:paraId="069A5EE9"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Policy breaches may also lead to criminal or civil proceedings.</w:t>
      </w:r>
    </w:p>
    <w:p w14:paraId="6B37BF66" w14:textId="550BCBFC" w:rsidR="007801C6" w:rsidRPr="000015A4" w:rsidRDefault="0091560D" w:rsidP="00A3605C">
      <w:pPr>
        <w:pStyle w:val="ListParagraph"/>
        <w:numPr>
          <w:ilvl w:val="1"/>
          <w:numId w:val="3"/>
        </w:numPr>
        <w:autoSpaceDE w:val="0"/>
        <w:autoSpaceDN w:val="0"/>
        <w:adjustRightInd w:val="0"/>
        <w:spacing w:before="240"/>
        <w:contextualSpacing/>
        <w:rPr>
          <w:rFonts w:cstheme="minorHAnsi"/>
        </w:rPr>
      </w:pPr>
      <w:r>
        <w:rPr>
          <w:rFonts w:cstheme="minorHAnsi"/>
        </w:rPr>
        <w:t>Edward Jenner</w:t>
      </w:r>
      <w:r w:rsidR="00F10404">
        <w:rPr>
          <w:rFonts w:cstheme="minorHAnsi"/>
        </w:rPr>
        <w:t xml:space="preserve"> </w:t>
      </w:r>
      <w:r>
        <w:rPr>
          <w:rFonts w:cstheme="minorHAnsi"/>
        </w:rPr>
        <w:t>School</w:t>
      </w:r>
      <w:r w:rsidR="00F10404">
        <w:rPr>
          <w:rFonts w:cstheme="minorHAnsi"/>
        </w:rPr>
        <w:t xml:space="preserve"> understands that </w:t>
      </w:r>
      <w:r w:rsidR="007801C6" w:rsidRPr="000015A4">
        <w:rPr>
          <w:rFonts w:cstheme="minorHAnsi"/>
        </w:rPr>
        <w:t>The ICO can serve notices requiring organisations to pay up to £500,000 for serious breaches of the Data Protection Act.</w:t>
      </w:r>
    </w:p>
    <w:p w14:paraId="54B69315" w14:textId="5C1413B0" w:rsidR="007801C6" w:rsidRPr="000015A4" w:rsidRDefault="00B07482" w:rsidP="00A3605C">
      <w:pPr>
        <w:pStyle w:val="ListParagraph"/>
        <w:numPr>
          <w:ilvl w:val="1"/>
          <w:numId w:val="3"/>
        </w:numPr>
        <w:autoSpaceDE w:val="0"/>
        <w:autoSpaceDN w:val="0"/>
        <w:adjustRightInd w:val="0"/>
        <w:spacing w:before="240"/>
        <w:contextualSpacing/>
        <w:rPr>
          <w:rFonts w:cstheme="minorHAnsi"/>
        </w:rPr>
      </w:pPr>
      <w:r>
        <w:rPr>
          <w:rFonts w:cstheme="minorHAnsi"/>
        </w:rPr>
        <w:t xml:space="preserve">Edward Jenner School understands that </w:t>
      </w:r>
      <w:r w:rsidR="007801C6" w:rsidRPr="000015A4">
        <w:rPr>
          <w:rFonts w:cstheme="minorHAnsi"/>
        </w:rPr>
        <w:t>The data protection powers of the Information Commissioner’s Office a</w:t>
      </w:r>
      <w:r>
        <w:rPr>
          <w:rFonts w:cstheme="minorHAnsi"/>
        </w:rPr>
        <w:t>llow it to</w:t>
      </w:r>
      <w:r w:rsidR="007801C6" w:rsidRPr="000015A4">
        <w:rPr>
          <w:rFonts w:cstheme="minorHAnsi"/>
        </w:rPr>
        <w:t>:</w:t>
      </w:r>
    </w:p>
    <w:p w14:paraId="7B355D2C" w14:textId="77777777" w:rsidR="007801C6" w:rsidRPr="000015A4" w:rsidRDefault="007801C6" w:rsidP="006D311C">
      <w:pPr>
        <w:pStyle w:val="ListParagraph"/>
        <w:numPr>
          <w:ilvl w:val="2"/>
          <w:numId w:val="3"/>
        </w:numPr>
        <w:autoSpaceDE w:val="0"/>
        <w:autoSpaceDN w:val="0"/>
        <w:adjustRightInd w:val="0"/>
        <w:spacing w:before="240"/>
        <w:contextualSpacing/>
        <w:rPr>
          <w:rFonts w:cstheme="minorHAnsi"/>
        </w:rPr>
      </w:pPr>
      <w:r w:rsidRPr="000015A4">
        <w:rPr>
          <w:rFonts w:cstheme="minorHAnsi"/>
        </w:rPr>
        <w:t>Conduct assessments to check organisations are complying with the Act;</w:t>
      </w:r>
    </w:p>
    <w:p w14:paraId="49446B4D" w14:textId="77777777" w:rsidR="007801C6" w:rsidRPr="000015A4" w:rsidRDefault="007801C6" w:rsidP="006D311C">
      <w:pPr>
        <w:pStyle w:val="ListParagraph"/>
        <w:numPr>
          <w:ilvl w:val="2"/>
          <w:numId w:val="3"/>
        </w:numPr>
        <w:autoSpaceDE w:val="0"/>
        <w:autoSpaceDN w:val="0"/>
        <w:adjustRightInd w:val="0"/>
        <w:spacing w:before="240"/>
        <w:contextualSpacing/>
        <w:rPr>
          <w:rFonts w:cstheme="minorHAnsi"/>
        </w:rPr>
      </w:pPr>
      <w:r w:rsidRPr="000015A4">
        <w:rPr>
          <w:rFonts w:cstheme="minorHAnsi"/>
        </w:rPr>
        <w:t>Serve information notices requiring organisations to provide the Information Commissioner’s Office with specified information within a certain time period;</w:t>
      </w:r>
    </w:p>
    <w:p w14:paraId="60D54ECC" w14:textId="77777777" w:rsidR="007801C6" w:rsidRPr="000015A4" w:rsidRDefault="007801C6" w:rsidP="006D311C">
      <w:pPr>
        <w:pStyle w:val="ListParagraph"/>
        <w:numPr>
          <w:ilvl w:val="2"/>
          <w:numId w:val="3"/>
        </w:numPr>
        <w:autoSpaceDE w:val="0"/>
        <w:autoSpaceDN w:val="0"/>
        <w:adjustRightInd w:val="0"/>
        <w:spacing w:before="240"/>
        <w:contextualSpacing/>
        <w:rPr>
          <w:rFonts w:cstheme="minorHAnsi"/>
        </w:rPr>
      </w:pPr>
      <w:r w:rsidRPr="000015A4">
        <w:rPr>
          <w:rFonts w:cstheme="minorHAnsi"/>
        </w:rPr>
        <w:t>∙Serve enforcement notices and ‘stop now’ orders where there has been a breach of the Act, requiring organisations to take (or refrain from taking) specified steps in order to ensure they comply with the law;</w:t>
      </w:r>
    </w:p>
    <w:p w14:paraId="14DA4CDE" w14:textId="77777777" w:rsidR="007B0A5D" w:rsidRDefault="007801C6" w:rsidP="006D311C">
      <w:pPr>
        <w:pStyle w:val="ListParagraph"/>
        <w:numPr>
          <w:ilvl w:val="2"/>
          <w:numId w:val="3"/>
        </w:numPr>
        <w:autoSpaceDE w:val="0"/>
        <w:autoSpaceDN w:val="0"/>
        <w:adjustRightInd w:val="0"/>
        <w:spacing w:before="240"/>
        <w:contextualSpacing/>
        <w:rPr>
          <w:rFonts w:cstheme="minorHAnsi"/>
        </w:rPr>
      </w:pPr>
      <w:r w:rsidRPr="000015A4">
        <w:rPr>
          <w:rFonts w:cstheme="minorHAnsi"/>
        </w:rPr>
        <w:t>Prosecute those who commit criminal offences under the Act;</w:t>
      </w:r>
    </w:p>
    <w:p w14:paraId="24CBC0B2" w14:textId="5D6F609D" w:rsidR="007801C6" w:rsidRPr="007B0A5D" w:rsidRDefault="007801C6" w:rsidP="006D311C">
      <w:pPr>
        <w:pStyle w:val="ListParagraph"/>
        <w:numPr>
          <w:ilvl w:val="2"/>
          <w:numId w:val="3"/>
        </w:numPr>
        <w:autoSpaceDE w:val="0"/>
        <w:autoSpaceDN w:val="0"/>
        <w:adjustRightInd w:val="0"/>
        <w:spacing w:before="240"/>
        <w:contextualSpacing/>
        <w:rPr>
          <w:rFonts w:cstheme="minorHAnsi"/>
        </w:rPr>
      </w:pPr>
      <w:r w:rsidRPr="007B0A5D">
        <w:rPr>
          <w:rFonts w:cstheme="minorHAnsi"/>
        </w:rPr>
        <w:t>Conduct audits to assess whether organisations’ processing of personal data follows good practice,</w:t>
      </w:r>
    </w:p>
    <w:p w14:paraId="076BCA7E" w14:textId="009E79F7" w:rsidR="007801C6" w:rsidRPr="007A359A" w:rsidRDefault="007801C6" w:rsidP="00A3605C">
      <w:pPr>
        <w:pStyle w:val="Heading1"/>
        <w:numPr>
          <w:ilvl w:val="0"/>
          <w:numId w:val="3"/>
        </w:numPr>
      </w:pPr>
      <w:bookmarkStart w:id="19" w:name="_Toc494653128"/>
      <w:bookmarkStart w:id="20" w:name="_Toc51515079"/>
      <w:r w:rsidRPr="007A359A">
        <w:t>INCIDENT REPORTING</w:t>
      </w:r>
      <w:bookmarkEnd w:id="19"/>
      <w:bookmarkEnd w:id="20"/>
    </w:p>
    <w:p w14:paraId="4D43F779"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 xml:space="preserve">Any security breaches or attempts, loss of equipment and any unauthorised use or suspected misuse of ICT must be immediately reported to the school’s relevant responsible person. Additionally, all security breaches, lost/stolen equipment or data (including remote access Secure ID tokens and PINs), virus notifications, unsolicited emails, misuse or unauthorised use of ICT and all other policy noncompliance must be reported to the relevant responsible person. </w:t>
      </w:r>
    </w:p>
    <w:p w14:paraId="4379C389" w14:textId="77777777" w:rsidR="007801C6" w:rsidRPr="000015A4"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The relevant responsible individual in the school is Mr Phil Brookes.</w:t>
      </w:r>
    </w:p>
    <w:p w14:paraId="314F2BCC" w14:textId="6C931801" w:rsidR="007801C6" w:rsidRDefault="007801C6" w:rsidP="00A3605C">
      <w:pPr>
        <w:pStyle w:val="ListParagraph"/>
        <w:numPr>
          <w:ilvl w:val="1"/>
          <w:numId w:val="3"/>
        </w:numPr>
        <w:autoSpaceDE w:val="0"/>
        <w:autoSpaceDN w:val="0"/>
        <w:adjustRightInd w:val="0"/>
        <w:spacing w:before="240"/>
        <w:contextualSpacing/>
        <w:rPr>
          <w:rFonts w:cstheme="minorHAnsi"/>
        </w:rPr>
      </w:pPr>
      <w:r w:rsidRPr="000015A4">
        <w:rPr>
          <w:rFonts w:cstheme="minorHAnsi"/>
        </w:rPr>
        <w:t>Written description of the E-Safety Incident must be logged &amp; Infringements and Flowcharts for Managing an E-Safety Incident should be followed (see Appendix A).</w:t>
      </w:r>
    </w:p>
    <w:p w14:paraId="21676226" w14:textId="1CE26559" w:rsidR="00D9041F" w:rsidRPr="00D9041F" w:rsidRDefault="00D75DE1" w:rsidP="00A3605C">
      <w:pPr>
        <w:pStyle w:val="Heading1"/>
        <w:numPr>
          <w:ilvl w:val="0"/>
          <w:numId w:val="3"/>
        </w:numPr>
      </w:pPr>
      <w:bookmarkStart w:id="21" w:name="_Toc51515080"/>
      <w:r w:rsidRPr="00D9041F">
        <w:t>TRAINING</w:t>
      </w:r>
      <w:bookmarkEnd w:id="21"/>
    </w:p>
    <w:p w14:paraId="162D0CB2" w14:textId="77777777" w:rsidR="00D9041F" w:rsidRPr="00D9041F" w:rsidRDefault="00D9041F" w:rsidP="00D9041F">
      <w:pPr>
        <w:ind w:left="426"/>
      </w:pPr>
      <w:r w:rsidRPr="00D9041F">
        <w:t xml:space="preserve">The school will ensure that staff are adequately trained regarding their data protection responsibilities.  </w:t>
      </w:r>
    </w:p>
    <w:p w14:paraId="71952ED5" w14:textId="01A7C214" w:rsidR="00D9041F" w:rsidRPr="00D9041F" w:rsidRDefault="00D75DE1" w:rsidP="00A3605C">
      <w:pPr>
        <w:pStyle w:val="Heading1"/>
        <w:numPr>
          <w:ilvl w:val="0"/>
          <w:numId w:val="3"/>
        </w:numPr>
      </w:pPr>
      <w:bookmarkStart w:id="22" w:name="_Toc51515081"/>
      <w:r w:rsidRPr="00D9041F">
        <w:t>CONSEQUENCES OF A FAILURE TO COMPLY</w:t>
      </w:r>
      <w:bookmarkEnd w:id="22"/>
    </w:p>
    <w:p w14:paraId="03328C4E" w14:textId="77777777" w:rsidR="00D9041F" w:rsidRPr="00D9041F" w:rsidRDefault="00D9041F" w:rsidP="00D9041F">
      <w:pPr>
        <w:ind w:left="426"/>
      </w:pPr>
      <w:r w:rsidRPr="00D9041F">
        <w:t>The school takes compliance with this policy very seriously.  Failure to comply puts data subjects whose personal information is being processed at risk and carries the risk of significant civil and criminal sanctions for the individual and the school and may in some circumstances amount to a criminal offence by the individual.</w:t>
      </w:r>
    </w:p>
    <w:p w14:paraId="55895CBA" w14:textId="3A03DC4D" w:rsidR="002932C1" w:rsidRPr="007A359A" w:rsidRDefault="000015A4" w:rsidP="00A3605C">
      <w:pPr>
        <w:pStyle w:val="Heading1"/>
        <w:numPr>
          <w:ilvl w:val="0"/>
          <w:numId w:val="3"/>
        </w:numPr>
      </w:pPr>
      <w:bookmarkStart w:id="23" w:name="_Toc51515082"/>
      <w:r w:rsidRPr="007A359A">
        <w:t>COMPLAINTS</w:t>
      </w:r>
      <w:bookmarkEnd w:id="23"/>
    </w:p>
    <w:p w14:paraId="11B71F6B" w14:textId="77777777" w:rsidR="002932C1" w:rsidRPr="00826CE8" w:rsidRDefault="002932C1" w:rsidP="00D9041F">
      <w:pPr>
        <w:autoSpaceDE w:val="0"/>
        <w:autoSpaceDN w:val="0"/>
        <w:adjustRightInd w:val="0"/>
        <w:spacing w:before="240"/>
        <w:ind w:left="426"/>
        <w:rPr>
          <w:rFonts w:ascii="Calibri" w:hAnsi="Calibri" w:cs="ArialMT"/>
          <w:color w:val="000000"/>
        </w:rPr>
      </w:pPr>
      <w:r w:rsidRPr="00826CE8">
        <w:rPr>
          <w:rFonts w:ascii="Calibri" w:hAnsi="Calibri" w:cs="ArialMT"/>
          <w:color w:val="000000"/>
        </w:rPr>
        <w:t>Complaints will be dealt with in accordance with the school’s complaints policy. Complaints relating to information handling may be referred to the Information Commissioner (the statutory regulator).</w:t>
      </w:r>
    </w:p>
    <w:p w14:paraId="75955A0F" w14:textId="1D24E51D" w:rsidR="002932C1" w:rsidRPr="007A359A" w:rsidRDefault="000015A4" w:rsidP="00A3605C">
      <w:pPr>
        <w:pStyle w:val="Heading1"/>
        <w:numPr>
          <w:ilvl w:val="0"/>
          <w:numId w:val="3"/>
        </w:numPr>
      </w:pPr>
      <w:bookmarkStart w:id="24" w:name="_Toc51515083"/>
      <w:r w:rsidRPr="007A359A">
        <w:t>REVIEW</w:t>
      </w:r>
      <w:bookmarkEnd w:id="24"/>
    </w:p>
    <w:p w14:paraId="7DACEE6D" w14:textId="1D65FC56" w:rsidR="002932C1" w:rsidRDefault="002932C1" w:rsidP="00D9041F">
      <w:pPr>
        <w:autoSpaceDE w:val="0"/>
        <w:autoSpaceDN w:val="0"/>
        <w:adjustRightInd w:val="0"/>
        <w:spacing w:before="240"/>
        <w:ind w:left="426"/>
        <w:rPr>
          <w:rFonts w:ascii="Calibri" w:hAnsi="Calibri" w:cs="ArialMT"/>
          <w:color w:val="000000"/>
        </w:rPr>
      </w:pPr>
      <w:r w:rsidRPr="00826CE8">
        <w:rPr>
          <w:rFonts w:ascii="Calibri" w:hAnsi="Calibri" w:cs="ArialMT"/>
          <w:color w:val="000000"/>
        </w:rPr>
        <w:t>This policy will be reviewed as it is deemed appropriate, but no less frequently than</w:t>
      </w:r>
      <w:r w:rsidR="001205D2" w:rsidRPr="00826CE8">
        <w:rPr>
          <w:rFonts w:ascii="Calibri" w:hAnsi="Calibri" w:cs="ArialMT"/>
          <w:color w:val="000000"/>
        </w:rPr>
        <w:t xml:space="preserve"> </w:t>
      </w:r>
      <w:r w:rsidRPr="00826CE8">
        <w:rPr>
          <w:rFonts w:ascii="Calibri" w:hAnsi="Calibri" w:cs="ArialMT"/>
          <w:color w:val="000000"/>
        </w:rPr>
        <w:t xml:space="preserve">every 2 years. The policy review will be undertaken by the </w:t>
      </w:r>
      <w:r w:rsidR="00D9041F" w:rsidRPr="00826CE8">
        <w:rPr>
          <w:rFonts w:ascii="Calibri" w:hAnsi="Calibri" w:cs="ArialMT"/>
          <w:color w:val="000000"/>
        </w:rPr>
        <w:t>Headteacher or</w:t>
      </w:r>
      <w:r w:rsidRPr="00826CE8">
        <w:rPr>
          <w:rFonts w:ascii="Calibri" w:hAnsi="Calibri" w:cs="ArialMT"/>
          <w:color w:val="000000"/>
        </w:rPr>
        <w:t xml:space="preserve"> nominated representative.</w:t>
      </w:r>
    </w:p>
    <w:p w14:paraId="12D93C81" w14:textId="5DF3F0F0" w:rsidR="00A62D03" w:rsidRDefault="003F35C3" w:rsidP="00A62D03">
      <w:pPr>
        <w:ind w:left="426"/>
        <w:rPr>
          <w:rFonts w:ascii="Calibri" w:hAnsi="Calibri" w:cs="ArialMT"/>
          <w:color w:val="000000"/>
        </w:rPr>
      </w:pPr>
      <w:r>
        <w:rPr>
          <w:rFonts w:ascii="Calibri" w:hAnsi="Calibri" w:cs="ArialMT"/>
          <w:color w:val="000000"/>
        </w:rPr>
        <w:t>The School will u</w:t>
      </w:r>
      <w:r w:rsidR="00A62D03">
        <w:rPr>
          <w:rFonts w:ascii="Calibri" w:hAnsi="Calibri" w:cs="ArialMT"/>
          <w:color w:val="000000"/>
        </w:rPr>
        <w:t xml:space="preserve">ndertake an annual </w:t>
      </w:r>
      <w:r w:rsidR="00A62D03" w:rsidRPr="00A62D03">
        <w:rPr>
          <w:rFonts w:ascii="Calibri" w:hAnsi="Calibri" w:cs="ArialMT"/>
          <w:color w:val="000000"/>
        </w:rPr>
        <w:t xml:space="preserve">review of school records and safe data destruction </w:t>
      </w:r>
      <w:r w:rsidR="00A62D03">
        <w:rPr>
          <w:rFonts w:ascii="Calibri" w:hAnsi="Calibri" w:cs="ArialMT"/>
          <w:color w:val="000000"/>
        </w:rPr>
        <w:t xml:space="preserve">task. </w:t>
      </w:r>
      <w:r w:rsidR="00736BF2">
        <w:rPr>
          <w:rFonts w:ascii="Calibri" w:hAnsi="Calibri" w:cs="ArialMT"/>
          <w:color w:val="000000"/>
        </w:rPr>
        <w:t>See accompanying document</w:t>
      </w:r>
      <w:r w:rsidR="00B902B0">
        <w:rPr>
          <w:rFonts w:ascii="Calibri" w:hAnsi="Calibri" w:cs="ArialMT"/>
          <w:color w:val="000000"/>
        </w:rPr>
        <w:t>:</w:t>
      </w:r>
    </w:p>
    <w:sdt>
      <w:sdtPr>
        <w:rPr>
          <w:rFonts w:ascii="Calibri" w:hAnsi="Calibri" w:cs="ArialMT"/>
          <w:i/>
          <w:iCs/>
          <w:color w:val="000000"/>
          <w:lang w:val="en-US"/>
        </w:rPr>
        <w:id w:val="-1454857753"/>
        <w:docPartObj>
          <w:docPartGallery w:val="Cover Pages"/>
          <w:docPartUnique/>
        </w:docPartObj>
      </w:sdtPr>
      <w:sdtEndPr>
        <w:rPr>
          <w:i w:val="0"/>
          <w:iCs w:val="0"/>
        </w:rPr>
      </w:sdtEndPr>
      <w:sdtContent>
        <w:p w14:paraId="6C8E21E4" w14:textId="49358259" w:rsidR="003F35C3" w:rsidRPr="00B902B0" w:rsidRDefault="00736BF2" w:rsidP="00B902B0">
          <w:pPr>
            <w:ind w:firstLine="426"/>
            <w:rPr>
              <w:rFonts w:ascii="Calibri" w:hAnsi="Calibri" w:cs="ArialMT"/>
              <w:color w:val="000000"/>
            </w:rPr>
          </w:pPr>
          <w:r>
            <w:rPr>
              <w:rFonts w:ascii="Calibri" w:hAnsi="Calibri" w:cs="ArialMT"/>
              <w:b/>
              <w:bCs/>
              <w:i/>
              <w:iCs/>
              <w:color w:val="000000"/>
              <w:lang w:val="en-US"/>
            </w:rPr>
            <w:t>EJS A</w:t>
          </w:r>
          <w:r w:rsidRPr="00736BF2">
            <w:rPr>
              <w:rFonts w:ascii="Calibri" w:hAnsi="Calibri" w:cs="ArialMT"/>
              <w:b/>
              <w:bCs/>
              <w:i/>
              <w:iCs/>
              <w:color w:val="000000"/>
              <w:lang w:val="en-US"/>
            </w:rPr>
            <w:t>nnual review of school records and safe data destruction checklist</w:t>
          </w:r>
        </w:p>
      </w:sdtContent>
    </w:sdt>
    <w:p w14:paraId="39CBCAC6" w14:textId="765F3C19" w:rsidR="002932C1" w:rsidRPr="007A359A" w:rsidRDefault="000015A4" w:rsidP="00A3605C">
      <w:pPr>
        <w:pStyle w:val="Heading1"/>
        <w:numPr>
          <w:ilvl w:val="0"/>
          <w:numId w:val="3"/>
        </w:numPr>
      </w:pPr>
      <w:bookmarkStart w:id="25" w:name="_Toc51515084"/>
      <w:r w:rsidRPr="007A359A">
        <w:t>CONTACTS</w:t>
      </w:r>
      <w:bookmarkEnd w:id="25"/>
    </w:p>
    <w:p w14:paraId="5A2ED316" w14:textId="1A53F02E" w:rsidR="002932C1" w:rsidRPr="00357D99" w:rsidRDefault="002932C1" w:rsidP="00A3605C">
      <w:pPr>
        <w:pStyle w:val="ListParagraph"/>
        <w:numPr>
          <w:ilvl w:val="1"/>
          <w:numId w:val="3"/>
        </w:numPr>
      </w:pPr>
      <w:r w:rsidRPr="00357D99">
        <w:t xml:space="preserve">If you have any enquires in relation to this policy, please contact </w:t>
      </w:r>
      <w:r w:rsidR="00D169AD" w:rsidRPr="00357D99">
        <w:rPr>
          <w:rFonts w:cs="Arial-BoldItalicMT"/>
          <w:bCs/>
          <w:iCs/>
        </w:rPr>
        <w:t>Mr P Brookes</w:t>
      </w:r>
      <w:r w:rsidR="00D431CF" w:rsidRPr="00357D99">
        <w:rPr>
          <w:rFonts w:cs="Arial-BoldItalicMT"/>
          <w:bCs/>
          <w:iCs/>
        </w:rPr>
        <w:t xml:space="preserve"> </w:t>
      </w:r>
      <w:r w:rsidR="00357D99">
        <w:rPr>
          <w:rFonts w:cs="Arial-BoldItalicMT"/>
          <w:bCs/>
          <w:iCs/>
        </w:rPr>
        <w:t>Edward Jenner School, 44 London Road, Gloucester, GL1 3NZ</w:t>
      </w:r>
      <w:r w:rsidR="00D169AD" w:rsidRPr="00357D99">
        <w:rPr>
          <w:rFonts w:cs="Arial-BoldItalicMT"/>
          <w:b/>
          <w:bCs/>
          <w:i/>
          <w:iCs/>
        </w:rPr>
        <w:t xml:space="preserve"> </w:t>
      </w:r>
      <w:r w:rsidRPr="00357D99">
        <w:t>who will also act as the contact point for any subject access requests.</w:t>
      </w:r>
    </w:p>
    <w:p w14:paraId="26D5CDBA" w14:textId="709F467F" w:rsidR="002932C1" w:rsidRPr="00357D99" w:rsidRDefault="002932C1" w:rsidP="00A3605C">
      <w:pPr>
        <w:pStyle w:val="ListParagraph"/>
        <w:numPr>
          <w:ilvl w:val="1"/>
          <w:numId w:val="3"/>
        </w:numPr>
        <w:rPr>
          <w:rFonts w:cs="Verdana"/>
        </w:rPr>
      </w:pPr>
      <w:r w:rsidRPr="00357D99">
        <w:t xml:space="preserve">Further advice and information </w:t>
      </w:r>
      <w:r w:rsidR="00357D99" w:rsidRPr="00357D99">
        <w:t>are</w:t>
      </w:r>
      <w:r w:rsidRPr="00357D99">
        <w:t xml:space="preserve"> available from the Information Commissioner’s Office, </w:t>
      </w:r>
      <w:r w:rsidRPr="00357D99">
        <w:rPr>
          <w:color w:val="0000FF"/>
        </w:rPr>
        <w:t xml:space="preserve">www.ico.gov.uk </w:t>
      </w:r>
      <w:r w:rsidRPr="00357D99">
        <w:t xml:space="preserve">or telephone </w:t>
      </w:r>
      <w:r w:rsidR="000E3840" w:rsidRPr="00357D99">
        <w:rPr>
          <w:rStyle w:val="Strong"/>
          <w:rFonts w:ascii="Calibri" w:hAnsi="Calibri"/>
        </w:rPr>
        <w:t>0303 123 1113</w:t>
      </w:r>
      <w:r w:rsidR="000E3840" w:rsidRPr="00357D99">
        <w:t xml:space="preserve"> or 01625 545745</w:t>
      </w:r>
    </w:p>
    <w:p w14:paraId="49B46FB9" w14:textId="2D71357F" w:rsidR="002932C1" w:rsidRPr="00357D99" w:rsidRDefault="002932C1" w:rsidP="00357D99">
      <w:pPr>
        <w:pStyle w:val="Heading1"/>
      </w:pPr>
      <w:r w:rsidRPr="00B30349">
        <w:br w:type="page"/>
      </w:r>
      <w:bookmarkStart w:id="26" w:name="_Toc51515085"/>
      <w:r w:rsidR="000A15E8" w:rsidRPr="007A359A">
        <w:t>APPENDIX 1</w:t>
      </w:r>
      <w:r w:rsidR="000A15E8">
        <w:t xml:space="preserve">- </w:t>
      </w:r>
      <w:r w:rsidR="000A15E8" w:rsidRPr="00357D99">
        <w:t>PROCEDURES FOR RESPONDING TO SUBJECT ACCESS REQUESTS MADE UNDER GDPR 2018</w:t>
      </w:r>
      <w:bookmarkEnd w:id="26"/>
    </w:p>
    <w:p w14:paraId="66BA4F52" w14:textId="77777777" w:rsidR="002932C1" w:rsidRPr="00357D99" w:rsidRDefault="002932C1" w:rsidP="00357D99">
      <w:pPr>
        <w:pStyle w:val="Heading1"/>
      </w:pPr>
      <w:bookmarkStart w:id="27" w:name="_Toc51515086"/>
      <w:r w:rsidRPr="00357D99">
        <w:t>Rights of access to information</w:t>
      </w:r>
      <w:bookmarkEnd w:id="27"/>
    </w:p>
    <w:p w14:paraId="1415C3B2" w14:textId="192BF39F" w:rsidR="00686B50" w:rsidRDefault="00C04F7A" w:rsidP="00D9041F">
      <w:pPr>
        <w:ind w:left="426"/>
        <w:rPr>
          <w:rFonts w:ascii="Calibri" w:hAnsi="Calibri" w:cs="ArialMT"/>
          <w:color w:val="000000"/>
        </w:rPr>
      </w:pPr>
      <w:r>
        <w:rPr>
          <w:rFonts w:ascii="Calibri" w:hAnsi="Calibri" w:cs="ArialMT"/>
          <w:color w:val="000000"/>
        </w:rPr>
        <w:t xml:space="preserve">From the </w:t>
      </w:r>
      <w:hyperlink r:id="rId14" w:anchor=":~:text=subject%20access%20request%3F-,What%20is%20the%20right%20of%20access%3F,you%20are%20doing%20it%20lawfully." w:history="1">
        <w:r w:rsidRPr="00C04F7A">
          <w:rPr>
            <w:rStyle w:val="Hyperlink"/>
            <w:rFonts w:ascii="Calibri" w:hAnsi="Calibri" w:cs="ArialMT"/>
          </w:rPr>
          <w:t>ICO Website</w:t>
        </w:r>
      </w:hyperlink>
      <w:r>
        <w:rPr>
          <w:rFonts w:ascii="Calibri" w:hAnsi="Calibri" w:cs="ArialMT"/>
          <w:color w:val="000000"/>
        </w:rPr>
        <w:t>:</w:t>
      </w:r>
    </w:p>
    <w:p w14:paraId="255C5E5A" w14:textId="57378ED9" w:rsidR="00686B50" w:rsidRPr="00C87837" w:rsidRDefault="00C87837" w:rsidP="00D9041F">
      <w:pPr>
        <w:ind w:left="426"/>
        <w:rPr>
          <w:rFonts w:ascii="Calibri" w:hAnsi="Calibri" w:cs="ArialMT"/>
          <w:i/>
          <w:iCs/>
          <w:color w:val="000000"/>
        </w:rPr>
      </w:pPr>
      <w:r w:rsidRPr="00C87837">
        <w:rPr>
          <w:rFonts w:ascii="Calibri" w:hAnsi="Calibri" w:cs="ArialMT"/>
          <w:i/>
          <w:iCs/>
          <w:color w:val="000000"/>
        </w:rPr>
        <w:t>The right of access, commonly referred to as subject access, gives individuals the right to obtain a copy of their personal data as well as other supplementary information. It helps individuals to understand how and why you are using their data, and check you are doing it lawfully.</w:t>
      </w:r>
    </w:p>
    <w:p w14:paraId="20E79C40" w14:textId="77777777" w:rsidR="000C3027" w:rsidRDefault="000C3027" w:rsidP="00D9041F">
      <w:pPr>
        <w:ind w:left="426"/>
        <w:rPr>
          <w:rFonts w:ascii="Calibri" w:hAnsi="Calibri" w:cs="ArialMT"/>
          <w:color w:val="000000"/>
        </w:rPr>
      </w:pPr>
    </w:p>
    <w:p w14:paraId="013754CD" w14:textId="43D06847" w:rsidR="00F83D15" w:rsidRPr="00F83D15" w:rsidRDefault="00F83D15" w:rsidP="005D6706">
      <w:pPr>
        <w:pStyle w:val="NormalWeb"/>
        <w:shd w:val="clear" w:color="auto" w:fill="FFFFFF"/>
        <w:spacing w:before="0" w:beforeAutospacing="0" w:after="0" w:afterAutospacing="0"/>
        <w:ind w:left="426"/>
        <w:rPr>
          <w:rFonts w:asciiTheme="minorHAnsi" w:hAnsiTheme="minorHAnsi" w:cstheme="minorHAnsi"/>
          <w:color w:val="000000"/>
        </w:rPr>
      </w:pPr>
      <w:r w:rsidRPr="00F83D15">
        <w:rPr>
          <w:rFonts w:asciiTheme="minorHAnsi" w:hAnsiTheme="minorHAnsi" w:cstheme="minorHAnsi"/>
          <w:color w:val="000000"/>
        </w:rPr>
        <w:t>Individuals have the right to obtain the following:</w:t>
      </w:r>
    </w:p>
    <w:p w14:paraId="42BCDCD8" w14:textId="02710470" w:rsidR="00F83D15" w:rsidRPr="00F83D15" w:rsidRDefault="00F83D15" w:rsidP="001650C4">
      <w:pPr>
        <w:numPr>
          <w:ilvl w:val="0"/>
          <w:numId w:val="9"/>
        </w:numPr>
        <w:shd w:val="clear" w:color="auto" w:fill="FFFFFF"/>
        <w:spacing w:before="100" w:beforeAutospacing="1" w:after="100" w:afterAutospacing="1"/>
        <w:ind w:left="709"/>
        <w:rPr>
          <w:rFonts w:cstheme="minorHAnsi"/>
          <w:color w:val="000000"/>
        </w:rPr>
      </w:pPr>
      <w:r w:rsidRPr="00F83D15">
        <w:rPr>
          <w:rFonts w:cstheme="minorHAnsi"/>
          <w:color w:val="000000"/>
        </w:rPr>
        <w:t xml:space="preserve">confirmation that </w:t>
      </w:r>
      <w:r w:rsidR="005223F2">
        <w:rPr>
          <w:rFonts w:cstheme="minorHAnsi"/>
          <w:color w:val="000000"/>
        </w:rPr>
        <w:t>we</w:t>
      </w:r>
      <w:r w:rsidRPr="00F83D15">
        <w:rPr>
          <w:rFonts w:cstheme="minorHAnsi"/>
          <w:color w:val="000000"/>
        </w:rPr>
        <w:t xml:space="preserve"> are processing their personal data;</w:t>
      </w:r>
    </w:p>
    <w:p w14:paraId="62710FED" w14:textId="77777777" w:rsidR="00F83D15" w:rsidRPr="00F83D15" w:rsidRDefault="00F83D15" w:rsidP="001650C4">
      <w:pPr>
        <w:numPr>
          <w:ilvl w:val="0"/>
          <w:numId w:val="9"/>
        </w:numPr>
        <w:shd w:val="clear" w:color="auto" w:fill="FFFFFF"/>
        <w:spacing w:before="120" w:after="100" w:afterAutospacing="1"/>
        <w:ind w:left="709"/>
        <w:rPr>
          <w:rFonts w:cstheme="minorHAnsi"/>
          <w:color w:val="000000"/>
        </w:rPr>
      </w:pPr>
      <w:r w:rsidRPr="00F83D15">
        <w:rPr>
          <w:rFonts w:cstheme="minorHAnsi"/>
          <w:color w:val="000000"/>
        </w:rPr>
        <w:t>a copy of their personal data; and</w:t>
      </w:r>
    </w:p>
    <w:p w14:paraId="062DBFC4" w14:textId="4FF01BEE" w:rsidR="0036114A" w:rsidRPr="005A293F" w:rsidRDefault="00F83D15" w:rsidP="001650C4">
      <w:pPr>
        <w:numPr>
          <w:ilvl w:val="0"/>
          <w:numId w:val="9"/>
        </w:numPr>
        <w:shd w:val="clear" w:color="auto" w:fill="FFFFFF"/>
        <w:spacing w:before="120" w:after="100" w:afterAutospacing="1"/>
        <w:ind w:left="709"/>
        <w:rPr>
          <w:rFonts w:ascii="Calibri" w:hAnsi="Calibri" w:cs="ArialMT"/>
          <w:color w:val="000000"/>
        </w:rPr>
      </w:pPr>
      <w:r w:rsidRPr="005A293F">
        <w:rPr>
          <w:rFonts w:cstheme="minorHAnsi"/>
          <w:color w:val="000000"/>
        </w:rPr>
        <w:t>other supplementary information provide</w:t>
      </w:r>
      <w:r w:rsidR="00205051">
        <w:rPr>
          <w:rFonts w:cstheme="minorHAnsi"/>
          <w:color w:val="000000"/>
        </w:rPr>
        <w:t>d</w:t>
      </w:r>
      <w:r w:rsidRPr="005A293F">
        <w:rPr>
          <w:rFonts w:cstheme="minorHAnsi"/>
          <w:color w:val="000000"/>
        </w:rPr>
        <w:t xml:space="preserve"> in a </w:t>
      </w:r>
      <w:r w:rsidR="001650C4">
        <w:rPr>
          <w:rFonts w:cstheme="minorHAnsi"/>
          <w:color w:val="000000"/>
        </w:rPr>
        <w:t>Subject Access Request</w:t>
      </w:r>
    </w:p>
    <w:p w14:paraId="165ED918" w14:textId="3D5132B7" w:rsidR="002932C1" w:rsidRPr="000015A4" w:rsidRDefault="007860B7" w:rsidP="00357D99">
      <w:pPr>
        <w:pStyle w:val="Heading1"/>
      </w:pPr>
      <w:bookmarkStart w:id="28" w:name="_Toc51515087"/>
      <w:r w:rsidRPr="007860B7">
        <w:t xml:space="preserve">Complying with </w:t>
      </w:r>
      <w:r w:rsidR="00A45BFD">
        <w:t xml:space="preserve">and </w:t>
      </w:r>
      <w:r w:rsidR="002932C1" w:rsidRPr="000015A4">
        <w:t xml:space="preserve">Actioning a </w:t>
      </w:r>
      <w:r w:rsidR="0027309A">
        <w:t>S</w:t>
      </w:r>
      <w:r w:rsidR="002932C1" w:rsidRPr="000015A4">
        <w:t xml:space="preserve">ubject </w:t>
      </w:r>
      <w:r w:rsidR="0027309A">
        <w:t>A</w:t>
      </w:r>
      <w:r w:rsidR="002932C1" w:rsidRPr="000015A4">
        <w:t xml:space="preserve">ccess </w:t>
      </w:r>
      <w:r w:rsidR="0027309A">
        <w:t>R</w:t>
      </w:r>
      <w:r w:rsidR="002932C1" w:rsidRPr="000015A4">
        <w:t>equest</w:t>
      </w:r>
      <w:bookmarkEnd w:id="28"/>
    </w:p>
    <w:p w14:paraId="4FBB1A13" w14:textId="7DDD463D" w:rsidR="002932C1" w:rsidRPr="000015A4" w:rsidRDefault="002932C1" w:rsidP="00D9041F">
      <w:pPr>
        <w:ind w:left="426"/>
        <w:rPr>
          <w:rFonts w:ascii="Calibri" w:hAnsi="Calibri" w:cs="ArialMT"/>
          <w:color w:val="000000"/>
        </w:rPr>
      </w:pPr>
      <w:r w:rsidRPr="000015A4">
        <w:rPr>
          <w:rFonts w:ascii="Calibri" w:hAnsi="Calibri" w:cs="ArialMT"/>
          <w:color w:val="000000"/>
        </w:rPr>
        <w:t xml:space="preserve">Requests for information must be made in </w:t>
      </w:r>
      <w:r w:rsidR="000A15E8" w:rsidRPr="000015A4">
        <w:rPr>
          <w:rFonts w:ascii="Calibri" w:hAnsi="Calibri" w:cs="ArialMT"/>
          <w:color w:val="000000"/>
        </w:rPr>
        <w:t>writing,</w:t>
      </w:r>
      <w:r w:rsidRPr="000015A4">
        <w:rPr>
          <w:rFonts w:ascii="Calibri" w:hAnsi="Calibri" w:cs="ArialMT"/>
          <w:color w:val="000000"/>
        </w:rPr>
        <w:t xml:space="preserve"> which includes email, and be addressed to </w:t>
      </w:r>
      <w:r w:rsidR="00D431CF" w:rsidRPr="000015A4">
        <w:rPr>
          <w:rFonts w:ascii="Calibri" w:hAnsi="Calibri" w:cs="ArialMT"/>
          <w:color w:val="000000"/>
        </w:rPr>
        <w:t>Mr Philip Brookes</w:t>
      </w:r>
      <w:r w:rsidRPr="000015A4">
        <w:rPr>
          <w:rFonts w:ascii="Calibri" w:hAnsi="Calibri" w:cs="Arial-BoldMT"/>
          <w:b/>
          <w:bCs/>
          <w:color w:val="000000"/>
        </w:rPr>
        <w:t xml:space="preserve"> </w:t>
      </w:r>
      <w:r w:rsidRPr="000015A4">
        <w:rPr>
          <w:rFonts w:ascii="Calibri" w:hAnsi="Calibri" w:cs="ArialMT"/>
          <w:color w:val="000000"/>
        </w:rPr>
        <w:t>If the initial request does not clearly identify the information required, then further enquiries will be made.</w:t>
      </w:r>
    </w:p>
    <w:p w14:paraId="57E4391F" w14:textId="77777777" w:rsidR="002932C1" w:rsidRPr="000015A4" w:rsidRDefault="002932C1" w:rsidP="00D9041F">
      <w:pPr>
        <w:ind w:left="426"/>
        <w:rPr>
          <w:rFonts w:ascii="Calibri" w:hAnsi="Calibri" w:cs="ArialMT"/>
          <w:color w:val="000000"/>
        </w:rPr>
      </w:pPr>
      <w:r w:rsidRPr="000015A4">
        <w:rPr>
          <w:rFonts w:ascii="Calibri" w:hAnsi="Calibri" w:cs="ArialMT"/>
          <w:color w:val="000000"/>
        </w:rPr>
        <w:t>The identity of the requestor must be established before the disclosure of any information, and checks should also be carried out regarding proof of</w:t>
      </w:r>
      <w:r w:rsidR="00D431CF" w:rsidRPr="000015A4">
        <w:rPr>
          <w:rFonts w:ascii="Calibri" w:hAnsi="Calibri" w:cs="ArialMT"/>
          <w:color w:val="000000"/>
        </w:rPr>
        <w:t xml:space="preserve"> </w:t>
      </w:r>
      <w:r w:rsidRPr="000015A4">
        <w:rPr>
          <w:rFonts w:ascii="Calibri" w:hAnsi="Calibri" w:cs="ArialMT"/>
          <w:color w:val="000000"/>
        </w:rPr>
        <w:t>relationship to the child. Evidence of identity can be established by requesting</w:t>
      </w:r>
      <w:r w:rsidR="00D431CF" w:rsidRPr="000015A4">
        <w:rPr>
          <w:rFonts w:ascii="Calibri" w:hAnsi="Calibri" w:cs="ArialMT"/>
          <w:color w:val="000000"/>
        </w:rPr>
        <w:t xml:space="preserve"> </w:t>
      </w:r>
      <w:r w:rsidRPr="000015A4">
        <w:rPr>
          <w:rFonts w:ascii="Calibri" w:hAnsi="Calibri" w:cs="ArialMT"/>
          <w:color w:val="000000"/>
        </w:rPr>
        <w:t>production of:</w:t>
      </w:r>
    </w:p>
    <w:p w14:paraId="69703B84"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passport</w:t>
      </w:r>
    </w:p>
    <w:p w14:paraId="11A82E51"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driving licence</w:t>
      </w:r>
    </w:p>
    <w:p w14:paraId="7C059A76"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utility bills with the current address</w:t>
      </w:r>
    </w:p>
    <w:p w14:paraId="7E03942E"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Birth / Marriage certificate</w:t>
      </w:r>
    </w:p>
    <w:p w14:paraId="6A589787"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P45/P60</w:t>
      </w:r>
    </w:p>
    <w:p w14:paraId="63BA08C2"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MT"/>
          <w:color w:val="000000"/>
        </w:rPr>
        <w:t>Credit Card or Mortgage statement</w:t>
      </w:r>
    </w:p>
    <w:p w14:paraId="72EED7D6" w14:textId="77777777" w:rsidR="002932C1" w:rsidRPr="00357D99" w:rsidRDefault="002932C1" w:rsidP="000A15E8">
      <w:pPr>
        <w:pStyle w:val="ListParagraph"/>
        <w:numPr>
          <w:ilvl w:val="0"/>
          <w:numId w:val="4"/>
        </w:numPr>
        <w:ind w:left="993"/>
        <w:rPr>
          <w:rFonts w:ascii="Calibri" w:hAnsi="Calibri" w:cs="ArialMT"/>
          <w:color w:val="000000"/>
        </w:rPr>
      </w:pPr>
      <w:r w:rsidRPr="00357D99">
        <w:rPr>
          <w:rFonts w:ascii="Calibri" w:hAnsi="Calibri" w:cs="Arial-ItalicMT"/>
          <w:i/>
          <w:iCs/>
          <w:color w:val="000000"/>
        </w:rPr>
        <w:t>This list is not exhaustive</w:t>
      </w:r>
      <w:r w:rsidRPr="00357D99">
        <w:rPr>
          <w:rFonts w:ascii="Calibri" w:hAnsi="Calibri" w:cs="ArialMT"/>
          <w:color w:val="000000"/>
        </w:rPr>
        <w:t>.</w:t>
      </w:r>
    </w:p>
    <w:p w14:paraId="4FDB1305" w14:textId="5134FD1E" w:rsidR="002932C1" w:rsidRDefault="002932C1" w:rsidP="00357D99">
      <w:pPr>
        <w:rPr>
          <w:rFonts w:ascii="Calibri" w:hAnsi="Calibri" w:cs="ArialMT"/>
          <w:color w:val="000000"/>
        </w:rPr>
      </w:pPr>
    </w:p>
    <w:p w14:paraId="4C45CAD0" w14:textId="56580541" w:rsidR="0024291A" w:rsidRPr="0024291A" w:rsidRDefault="0024291A" w:rsidP="005D6706">
      <w:pPr>
        <w:shd w:val="clear" w:color="auto" w:fill="FFFFFF"/>
        <w:ind w:left="426"/>
        <w:rPr>
          <w:rFonts w:cstheme="minorHAnsi"/>
          <w:color w:val="000000"/>
        </w:rPr>
      </w:pPr>
      <w:r w:rsidRPr="0024291A">
        <w:rPr>
          <w:rFonts w:cstheme="minorHAnsi"/>
          <w:color w:val="000000"/>
        </w:rPr>
        <w:t>In addition to a copy of their personal data,</w:t>
      </w:r>
      <w:r w:rsidR="00C36AC8">
        <w:rPr>
          <w:rFonts w:cstheme="minorHAnsi"/>
          <w:color w:val="000000"/>
        </w:rPr>
        <w:t xml:space="preserve"> we will</w:t>
      </w:r>
      <w:r w:rsidRPr="0024291A">
        <w:rPr>
          <w:rFonts w:cstheme="minorHAnsi"/>
          <w:color w:val="000000"/>
        </w:rPr>
        <w:t xml:space="preserve"> provide individuals with the following information:</w:t>
      </w:r>
    </w:p>
    <w:p w14:paraId="2C82787D" w14:textId="77777777" w:rsidR="0024291A" w:rsidRPr="0024291A" w:rsidRDefault="0024291A" w:rsidP="004A34B8">
      <w:pPr>
        <w:numPr>
          <w:ilvl w:val="0"/>
          <w:numId w:val="10"/>
        </w:numPr>
        <w:shd w:val="clear" w:color="auto" w:fill="FFFFFF"/>
        <w:tabs>
          <w:tab w:val="clear" w:pos="720"/>
        </w:tabs>
        <w:spacing w:before="100" w:beforeAutospacing="1" w:after="100" w:afterAutospacing="1"/>
        <w:ind w:left="993" w:hanging="284"/>
        <w:rPr>
          <w:rFonts w:cstheme="minorHAnsi"/>
          <w:color w:val="000000"/>
        </w:rPr>
      </w:pPr>
      <w:r w:rsidRPr="0024291A">
        <w:rPr>
          <w:rFonts w:cstheme="minorHAnsi"/>
          <w:color w:val="000000"/>
        </w:rPr>
        <w:t>the purposes of your processing;</w:t>
      </w:r>
    </w:p>
    <w:p w14:paraId="24550E9B" w14:textId="77777777" w:rsidR="0024291A" w:rsidRPr="0024291A" w:rsidRDefault="0024291A" w:rsidP="004A34B8">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the categories of personal data concerned;</w:t>
      </w:r>
    </w:p>
    <w:p w14:paraId="6E1E16D0" w14:textId="5F4C8F8C" w:rsidR="0024291A" w:rsidRPr="0024291A" w:rsidRDefault="0024291A" w:rsidP="004A34B8">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 xml:space="preserve">the recipients or categories of recipient </w:t>
      </w:r>
      <w:r w:rsidR="00A31939" w:rsidRPr="004A34B8">
        <w:rPr>
          <w:rFonts w:cstheme="minorHAnsi"/>
          <w:color w:val="000000"/>
        </w:rPr>
        <w:t>we</w:t>
      </w:r>
      <w:r w:rsidRPr="0024291A">
        <w:rPr>
          <w:rFonts w:cstheme="minorHAnsi"/>
          <w:color w:val="000000"/>
        </w:rPr>
        <w:t xml:space="preserve"> disclose the personal data to;</w:t>
      </w:r>
    </w:p>
    <w:p w14:paraId="135E26D8" w14:textId="584B8A78" w:rsidR="0024291A" w:rsidRPr="0024291A" w:rsidRDefault="004A34B8" w:rsidP="004A34B8">
      <w:pPr>
        <w:numPr>
          <w:ilvl w:val="0"/>
          <w:numId w:val="10"/>
        </w:numPr>
        <w:shd w:val="clear" w:color="auto" w:fill="FFFFFF"/>
        <w:tabs>
          <w:tab w:val="clear" w:pos="720"/>
        </w:tabs>
        <w:spacing w:before="120" w:after="100" w:afterAutospacing="1"/>
        <w:ind w:left="993" w:hanging="284"/>
        <w:rPr>
          <w:rFonts w:cstheme="minorHAnsi"/>
          <w:color w:val="000000"/>
        </w:rPr>
      </w:pPr>
      <w:r w:rsidRPr="004A34B8">
        <w:rPr>
          <w:rFonts w:cstheme="minorHAnsi"/>
          <w:color w:val="000000"/>
        </w:rPr>
        <w:t>the</w:t>
      </w:r>
      <w:r w:rsidR="00D86166">
        <w:rPr>
          <w:rFonts w:cstheme="minorHAnsi"/>
          <w:color w:val="000000"/>
        </w:rPr>
        <w:t xml:space="preserve"> </w:t>
      </w:r>
      <w:r w:rsidR="0024291A" w:rsidRPr="0024291A">
        <w:rPr>
          <w:rFonts w:cstheme="minorHAnsi"/>
          <w:color w:val="000000"/>
        </w:rPr>
        <w:t xml:space="preserve">retention period for storing the personal data or, where this is not possible, your criteria for determining how long </w:t>
      </w:r>
      <w:r w:rsidR="00A31939" w:rsidRPr="004A34B8">
        <w:rPr>
          <w:rFonts w:cstheme="minorHAnsi"/>
          <w:color w:val="000000"/>
        </w:rPr>
        <w:t>we</w:t>
      </w:r>
      <w:r w:rsidR="0024291A" w:rsidRPr="0024291A">
        <w:rPr>
          <w:rFonts w:cstheme="minorHAnsi"/>
          <w:color w:val="000000"/>
        </w:rPr>
        <w:t xml:space="preserve"> will store it;</w:t>
      </w:r>
    </w:p>
    <w:p w14:paraId="1E04FAEC" w14:textId="77777777" w:rsidR="0024291A" w:rsidRPr="0024291A" w:rsidRDefault="0024291A" w:rsidP="004A34B8">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the existence of their right to request rectification, erasure or restriction or to object to such processing;</w:t>
      </w:r>
    </w:p>
    <w:p w14:paraId="401AEA07" w14:textId="77777777" w:rsidR="0024291A" w:rsidRPr="0024291A" w:rsidRDefault="0024291A" w:rsidP="00D86166">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the right to lodge a complaint with the ICO or another supervisory authority;</w:t>
      </w:r>
    </w:p>
    <w:p w14:paraId="6390F485" w14:textId="77777777" w:rsidR="0024291A" w:rsidRPr="0024291A" w:rsidRDefault="0024291A" w:rsidP="00D86166">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information about the source of the data, where it was not obtained directly from the individual;</w:t>
      </w:r>
    </w:p>
    <w:p w14:paraId="4B017452" w14:textId="77777777" w:rsidR="0024291A" w:rsidRPr="0024291A" w:rsidRDefault="0024291A" w:rsidP="00D86166">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the existence of automated decision-making (including profiling); and</w:t>
      </w:r>
    </w:p>
    <w:p w14:paraId="78DF4E3F" w14:textId="13F9880E" w:rsidR="0024291A" w:rsidRPr="00413D7E" w:rsidRDefault="0024291A" w:rsidP="00D86166">
      <w:pPr>
        <w:numPr>
          <w:ilvl w:val="0"/>
          <w:numId w:val="10"/>
        </w:numPr>
        <w:shd w:val="clear" w:color="auto" w:fill="FFFFFF"/>
        <w:tabs>
          <w:tab w:val="clear" w:pos="720"/>
        </w:tabs>
        <w:spacing w:before="120" w:after="100" w:afterAutospacing="1"/>
        <w:ind w:left="993" w:hanging="284"/>
        <w:rPr>
          <w:rFonts w:cstheme="minorHAnsi"/>
          <w:color w:val="000000"/>
        </w:rPr>
      </w:pPr>
      <w:r w:rsidRPr="0024291A">
        <w:rPr>
          <w:rFonts w:cstheme="minorHAnsi"/>
          <w:color w:val="000000"/>
        </w:rPr>
        <w:t>the safeguards you provide if you transfer personal data to a third country or international organisation.</w:t>
      </w:r>
    </w:p>
    <w:p w14:paraId="22757E69" w14:textId="7D922405" w:rsidR="002932C1" w:rsidRPr="000015A4" w:rsidRDefault="002932C1" w:rsidP="001E35B5">
      <w:pPr>
        <w:ind w:left="426"/>
        <w:rPr>
          <w:rFonts w:ascii="Calibri" w:hAnsi="Calibri" w:cs="ArialMT"/>
          <w:color w:val="000000"/>
        </w:rPr>
      </w:pPr>
      <w:r w:rsidRPr="000015A4">
        <w:rPr>
          <w:rFonts w:ascii="Calibri" w:hAnsi="Calibri" w:cs="ArialMT"/>
          <w:color w:val="000000"/>
        </w:rPr>
        <w:t>Any individual has the right of access to information held about them. However with children, this is dependent upon their capacity to understand (normally age 12 or above) and the nature of the request. The Headteacher should discuss the request with the child and take their views into account when making a decision. A child with competency to understand can refuse to</w:t>
      </w:r>
      <w:r w:rsidR="00D431CF" w:rsidRPr="000015A4">
        <w:rPr>
          <w:rFonts w:ascii="Calibri" w:hAnsi="Calibri" w:cs="ArialMT"/>
          <w:color w:val="000000"/>
        </w:rPr>
        <w:t xml:space="preserve"> </w:t>
      </w:r>
      <w:r w:rsidRPr="000015A4">
        <w:rPr>
          <w:rFonts w:ascii="Calibri" w:hAnsi="Calibri" w:cs="ArialMT"/>
          <w:color w:val="000000"/>
        </w:rPr>
        <w:t>consent to the request for their records. Where the child is not deemed to be</w:t>
      </w:r>
      <w:r w:rsidR="00D431CF" w:rsidRPr="000015A4">
        <w:rPr>
          <w:rFonts w:ascii="Calibri" w:hAnsi="Calibri" w:cs="ArialMT"/>
          <w:color w:val="000000"/>
        </w:rPr>
        <w:t xml:space="preserve"> </w:t>
      </w:r>
      <w:r w:rsidRPr="000015A4">
        <w:rPr>
          <w:rFonts w:ascii="Calibri" w:hAnsi="Calibri" w:cs="ArialMT"/>
          <w:color w:val="000000"/>
        </w:rPr>
        <w:t>competent an individual with parental responsibility or guardian shall make the</w:t>
      </w:r>
      <w:r w:rsidR="00D431CF" w:rsidRPr="000015A4">
        <w:rPr>
          <w:rFonts w:ascii="Calibri" w:hAnsi="Calibri" w:cs="ArialMT"/>
          <w:color w:val="000000"/>
        </w:rPr>
        <w:t xml:space="preserve"> </w:t>
      </w:r>
      <w:r w:rsidRPr="000015A4">
        <w:rPr>
          <w:rFonts w:ascii="Calibri" w:hAnsi="Calibri" w:cs="ArialMT"/>
          <w:color w:val="000000"/>
        </w:rPr>
        <w:t>decision on behalf of the child.</w:t>
      </w:r>
    </w:p>
    <w:p w14:paraId="293B67F3" w14:textId="77777777" w:rsidR="002932C1" w:rsidRPr="00861B1B" w:rsidRDefault="002932C1" w:rsidP="001E35B5">
      <w:pPr>
        <w:ind w:left="851" w:hanging="360"/>
        <w:rPr>
          <w:rFonts w:ascii="Calibri" w:hAnsi="Calibri" w:cs="ArialMT"/>
          <w:color w:val="000000"/>
        </w:rPr>
      </w:pPr>
    </w:p>
    <w:p w14:paraId="670FAFA4" w14:textId="53CDBB77" w:rsidR="002932C1" w:rsidRPr="000015A4" w:rsidRDefault="002932C1" w:rsidP="00916AF6">
      <w:pPr>
        <w:ind w:left="426"/>
        <w:rPr>
          <w:rFonts w:ascii="Calibri" w:hAnsi="Calibri" w:cs="Arial-BoldMT"/>
          <w:b/>
          <w:bCs/>
          <w:color w:val="000000"/>
        </w:rPr>
      </w:pPr>
      <w:r w:rsidRPr="000015A4">
        <w:rPr>
          <w:rFonts w:ascii="Calibri" w:hAnsi="Calibri" w:cs="ArialMT"/>
          <w:color w:val="000000"/>
        </w:rPr>
        <w:t xml:space="preserve">The response time for subject access requests, once </w:t>
      </w:r>
      <w:r w:rsidR="002778D1">
        <w:rPr>
          <w:rFonts w:ascii="Calibri" w:hAnsi="Calibri" w:cs="ArialMT"/>
          <w:color w:val="000000"/>
        </w:rPr>
        <w:t>formal</w:t>
      </w:r>
      <w:r w:rsidR="00FD634A">
        <w:rPr>
          <w:rFonts w:ascii="Calibri" w:hAnsi="Calibri" w:cs="ArialMT"/>
          <w:color w:val="000000"/>
        </w:rPr>
        <w:t xml:space="preserve"> identification is </w:t>
      </w:r>
      <w:r w:rsidRPr="000015A4">
        <w:rPr>
          <w:rFonts w:ascii="Calibri" w:hAnsi="Calibri" w:cs="ArialMT"/>
          <w:color w:val="000000"/>
        </w:rPr>
        <w:t xml:space="preserve">received, is </w:t>
      </w:r>
      <w:r w:rsidR="00A736DF">
        <w:rPr>
          <w:rFonts w:ascii="Calibri" w:hAnsi="Calibri" w:cs="ArialMT"/>
          <w:color w:val="000000"/>
        </w:rPr>
        <w:t>1 calendar month from the request for date has been verified.</w:t>
      </w:r>
    </w:p>
    <w:p w14:paraId="5FD202AA" w14:textId="77777777" w:rsidR="002932C1" w:rsidRPr="00861B1B" w:rsidRDefault="002932C1" w:rsidP="00916AF6">
      <w:pPr>
        <w:ind w:left="426"/>
        <w:rPr>
          <w:rFonts w:ascii="Calibri" w:hAnsi="Calibri" w:cs="ArialMT"/>
          <w:color w:val="000000"/>
        </w:rPr>
      </w:pPr>
    </w:p>
    <w:p w14:paraId="2F3A1F48" w14:textId="09CF7958" w:rsidR="002932C1" w:rsidRPr="000015A4" w:rsidRDefault="002932C1" w:rsidP="00916AF6">
      <w:pPr>
        <w:ind w:left="426"/>
        <w:rPr>
          <w:rFonts w:ascii="Calibri" w:hAnsi="Calibri" w:cs="ArialMT"/>
          <w:color w:val="000000"/>
        </w:rPr>
      </w:pPr>
      <w:r w:rsidRPr="000015A4">
        <w:rPr>
          <w:rFonts w:ascii="Calibri" w:hAnsi="Calibri" w:cs="ArialMT"/>
          <w:color w:val="000000"/>
        </w:rPr>
        <w:t xml:space="preserve">If there are concerns over the disclosure of </w:t>
      </w:r>
      <w:r w:rsidR="00AF25CA" w:rsidRPr="000015A4">
        <w:rPr>
          <w:rFonts w:ascii="Calibri" w:hAnsi="Calibri" w:cs="ArialMT"/>
          <w:color w:val="000000"/>
        </w:rPr>
        <w:t>information,</w:t>
      </w:r>
      <w:r w:rsidRPr="000015A4">
        <w:rPr>
          <w:rFonts w:ascii="Calibri" w:hAnsi="Calibri" w:cs="ArialMT"/>
          <w:color w:val="000000"/>
        </w:rPr>
        <w:t xml:space="preserve"> then additional advice should be sought.</w:t>
      </w:r>
    </w:p>
    <w:p w14:paraId="63CEEC63" w14:textId="77777777" w:rsidR="002932C1" w:rsidRPr="00861B1B" w:rsidRDefault="002932C1" w:rsidP="00916AF6">
      <w:pPr>
        <w:ind w:left="426"/>
        <w:rPr>
          <w:rFonts w:ascii="Calibri" w:hAnsi="Calibri" w:cs="ArialMT"/>
          <w:color w:val="000000"/>
        </w:rPr>
      </w:pPr>
    </w:p>
    <w:p w14:paraId="144F8D00" w14:textId="77777777" w:rsidR="002932C1" w:rsidRPr="000015A4" w:rsidRDefault="002932C1" w:rsidP="00916AF6">
      <w:pPr>
        <w:ind w:left="426"/>
        <w:rPr>
          <w:rFonts w:ascii="Calibri" w:hAnsi="Calibri" w:cs="ArialMT"/>
          <w:color w:val="000000"/>
        </w:rPr>
      </w:pPr>
      <w:r w:rsidRPr="000015A4">
        <w:rPr>
          <w:rFonts w:ascii="Calibri" w:hAnsi="Calibri" w:cs="ArialMT"/>
          <w:color w:val="000000"/>
        </w:rPr>
        <w:t>Where redaction (information blacked out/removed) has taken place then a full copy of the information provided should be retained in order to establish, if a complaint is made, what was redacted and why.</w:t>
      </w:r>
    </w:p>
    <w:p w14:paraId="4AE0F637" w14:textId="77777777" w:rsidR="002932C1" w:rsidRPr="00861B1B" w:rsidRDefault="002932C1" w:rsidP="00916AF6">
      <w:pPr>
        <w:ind w:left="426"/>
        <w:rPr>
          <w:rFonts w:ascii="Calibri" w:hAnsi="Calibri" w:cs="ArialMT"/>
          <w:color w:val="000000"/>
        </w:rPr>
      </w:pPr>
    </w:p>
    <w:p w14:paraId="3352852E" w14:textId="77777777" w:rsidR="002932C1" w:rsidRPr="000015A4" w:rsidRDefault="002932C1" w:rsidP="00916AF6">
      <w:pPr>
        <w:ind w:left="426"/>
        <w:rPr>
          <w:rFonts w:ascii="Calibri" w:hAnsi="Calibri" w:cs="ArialMT"/>
          <w:color w:val="000000"/>
        </w:rPr>
      </w:pPr>
      <w:r w:rsidRPr="000015A4">
        <w:rPr>
          <w:rFonts w:ascii="Calibri" w:hAnsi="Calibri" w:cs="ArialMT"/>
          <w:color w:val="000000"/>
        </w:rPr>
        <w:t>Information disclosed should be clear, thus any codes or technical terms will need to be clarified and explained. If information contained within the</w:t>
      </w:r>
      <w:r w:rsidR="00C80471" w:rsidRPr="000015A4">
        <w:rPr>
          <w:rFonts w:ascii="Calibri" w:hAnsi="Calibri" w:cs="ArialMT"/>
          <w:color w:val="000000"/>
        </w:rPr>
        <w:t xml:space="preserve"> </w:t>
      </w:r>
      <w:r w:rsidRPr="000015A4">
        <w:rPr>
          <w:rFonts w:ascii="Calibri" w:hAnsi="Calibri" w:cs="ArialMT"/>
          <w:color w:val="000000"/>
        </w:rPr>
        <w:t>disclosure is difficult to read or illegible, then it should be retyped.</w:t>
      </w:r>
    </w:p>
    <w:p w14:paraId="7FCC1072" w14:textId="77777777" w:rsidR="002932C1" w:rsidRPr="00861B1B" w:rsidRDefault="002932C1" w:rsidP="00916AF6">
      <w:pPr>
        <w:ind w:left="426"/>
        <w:rPr>
          <w:rFonts w:ascii="Calibri" w:hAnsi="Calibri" w:cs="ArialMT"/>
          <w:color w:val="000000"/>
        </w:rPr>
      </w:pPr>
    </w:p>
    <w:p w14:paraId="529FE457" w14:textId="64D5A238" w:rsidR="002932C1" w:rsidRPr="000015A4" w:rsidRDefault="002932C1" w:rsidP="00916AF6">
      <w:pPr>
        <w:ind w:left="426"/>
        <w:rPr>
          <w:rFonts w:ascii="Calibri" w:hAnsi="Calibri" w:cs="ArialMT"/>
          <w:color w:val="000000"/>
        </w:rPr>
      </w:pPr>
      <w:r w:rsidRPr="000015A4">
        <w:rPr>
          <w:rFonts w:ascii="Calibri" w:hAnsi="Calibri" w:cs="ArialMT"/>
          <w:color w:val="000000"/>
        </w:rPr>
        <w:t xml:space="preserve">Information can be provided at the school with a member of staff on hand to help and explain matters if </w:t>
      </w:r>
      <w:r w:rsidR="00AF25CA" w:rsidRPr="000015A4">
        <w:rPr>
          <w:rFonts w:ascii="Calibri" w:hAnsi="Calibri" w:cs="ArialMT"/>
          <w:color w:val="000000"/>
        </w:rPr>
        <w:t>requested or</w:t>
      </w:r>
      <w:r w:rsidRPr="000015A4">
        <w:rPr>
          <w:rFonts w:ascii="Calibri" w:hAnsi="Calibri" w:cs="ArialMT"/>
          <w:color w:val="000000"/>
        </w:rPr>
        <w:t xml:space="preserve"> provided at face to face handover.</w:t>
      </w:r>
      <w:r w:rsidR="00C80471" w:rsidRPr="000015A4">
        <w:rPr>
          <w:rFonts w:ascii="Calibri" w:hAnsi="Calibri" w:cs="ArialMT"/>
          <w:color w:val="000000"/>
        </w:rPr>
        <w:t xml:space="preserve"> </w:t>
      </w:r>
      <w:r w:rsidRPr="000015A4">
        <w:rPr>
          <w:rFonts w:ascii="Calibri" w:hAnsi="Calibri" w:cs="ArialMT"/>
          <w:color w:val="000000"/>
        </w:rPr>
        <w:t>The views of the applicant should be taken into account when considering the</w:t>
      </w:r>
      <w:r w:rsidR="00C80471" w:rsidRPr="000015A4">
        <w:rPr>
          <w:rFonts w:ascii="Calibri" w:hAnsi="Calibri" w:cs="ArialMT"/>
          <w:color w:val="000000"/>
        </w:rPr>
        <w:t xml:space="preserve"> </w:t>
      </w:r>
      <w:r w:rsidRPr="000015A4">
        <w:rPr>
          <w:rFonts w:ascii="Calibri" w:hAnsi="Calibri" w:cs="ArialMT"/>
          <w:color w:val="000000"/>
        </w:rPr>
        <w:t xml:space="preserve">method of delivery. If postal systems have to be </w:t>
      </w:r>
      <w:r w:rsidR="00AF25CA" w:rsidRPr="000015A4">
        <w:rPr>
          <w:rFonts w:ascii="Calibri" w:hAnsi="Calibri" w:cs="ArialMT"/>
          <w:color w:val="000000"/>
        </w:rPr>
        <w:t>used,</w:t>
      </w:r>
      <w:r w:rsidRPr="000015A4">
        <w:rPr>
          <w:rFonts w:ascii="Calibri" w:hAnsi="Calibri" w:cs="ArialMT"/>
          <w:color w:val="000000"/>
        </w:rPr>
        <w:t xml:space="preserve"> then registered/</w:t>
      </w:r>
      <w:r w:rsidR="00C80471" w:rsidRPr="000015A4">
        <w:rPr>
          <w:rFonts w:ascii="Calibri" w:hAnsi="Calibri" w:cs="ArialMT"/>
          <w:color w:val="000000"/>
        </w:rPr>
        <w:t xml:space="preserve"> </w:t>
      </w:r>
      <w:r w:rsidRPr="000015A4">
        <w:rPr>
          <w:rFonts w:ascii="Calibri" w:hAnsi="Calibri" w:cs="ArialMT"/>
          <w:color w:val="000000"/>
        </w:rPr>
        <w:t>recorded mail must be used.</w:t>
      </w:r>
    </w:p>
    <w:p w14:paraId="5B07D26B" w14:textId="77777777" w:rsidR="002932C1" w:rsidRPr="00861B1B" w:rsidRDefault="002932C1" w:rsidP="001E35B5">
      <w:pPr>
        <w:ind w:left="284"/>
        <w:rPr>
          <w:rFonts w:ascii="Calibri" w:hAnsi="Calibri" w:cs="ArialMT"/>
          <w:color w:val="000000"/>
        </w:rPr>
      </w:pPr>
    </w:p>
    <w:p w14:paraId="56203387" w14:textId="77777777" w:rsidR="002932C1" w:rsidRPr="000015A4" w:rsidRDefault="002932C1" w:rsidP="00357D99">
      <w:pPr>
        <w:pStyle w:val="Heading1"/>
      </w:pPr>
      <w:bookmarkStart w:id="29" w:name="_Toc51515088"/>
      <w:r w:rsidRPr="000015A4">
        <w:t>Complaints</w:t>
      </w:r>
      <w:bookmarkEnd w:id="29"/>
    </w:p>
    <w:p w14:paraId="2C65A806" w14:textId="77777777" w:rsidR="002932C1" w:rsidRPr="000015A4" w:rsidRDefault="002932C1" w:rsidP="009D12EE">
      <w:pPr>
        <w:ind w:left="426"/>
        <w:rPr>
          <w:rFonts w:ascii="Calibri" w:hAnsi="Calibri" w:cs="ArialMT"/>
          <w:color w:val="000000"/>
        </w:rPr>
      </w:pPr>
      <w:r w:rsidRPr="000015A4">
        <w:rPr>
          <w:rFonts w:ascii="Calibri" w:hAnsi="Calibri" w:cs="ArialMT"/>
          <w:color w:val="000000"/>
        </w:rPr>
        <w:t xml:space="preserve">Complaints about the above procedures should be made to the </w:t>
      </w:r>
      <w:r w:rsidR="00C80471" w:rsidRPr="000015A4">
        <w:rPr>
          <w:rFonts w:ascii="Calibri" w:hAnsi="Calibri" w:cs="ArialMT"/>
          <w:color w:val="000000"/>
        </w:rPr>
        <w:t>Proprietor</w:t>
      </w:r>
      <w:r w:rsidRPr="000015A4">
        <w:rPr>
          <w:rFonts w:ascii="Calibri" w:hAnsi="Calibri" w:cs="ArialMT"/>
          <w:color w:val="000000"/>
        </w:rPr>
        <w:t xml:space="preserve"> who will decide whether it is appropriate for the complaint to be dealt with in accordance with the school’s complaint procedure.</w:t>
      </w:r>
    </w:p>
    <w:p w14:paraId="52EBA9D2" w14:textId="77777777" w:rsidR="002932C1" w:rsidRPr="000015A4" w:rsidRDefault="002932C1" w:rsidP="009D12EE">
      <w:pPr>
        <w:ind w:left="426"/>
        <w:rPr>
          <w:rFonts w:ascii="Calibri" w:hAnsi="Calibri" w:cs="ArialMT"/>
          <w:color w:val="000000"/>
        </w:rPr>
      </w:pPr>
      <w:r w:rsidRPr="000015A4">
        <w:rPr>
          <w:rFonts w:ascii="Calibri" w:hAnsi="Calibri" w:cs="ArialMT"/>
          <w:color w:val="000000"/>
        </w:rPr>
        <w:t>Complaints which are not appropriate to be dealt with through the school’s complaint procedure can be dealt with by the Information Commissioner. Contact details of both will be provided with the disclosure information.</w:t>
      </w:r>
    </w:p>
    <w:p w14:paraId="35DECD9C" w14:textId="77777777" w:rsidR="002932C1" w:rsidRPr="00861B1B" w:rsidRDefault="002932C1" w:rsidP="00357D99">
      <w:pPr>
        <w:rPr>
          <w:rFonts w:ascii="Calibri" w:hAnsi="Calibri" w:cs="Arial-BoldMT"/>
          <w:b/>
          <w:bCs/>
          <w:color w:val="000000"/>
        </w:rPr>
      </w:pPr>
    </w:p>
    <w:p w14:paraId="3F8297DD" w14:textId="77777777" w:rsidR="002932C1" w:rsidRPr="000015A4" w:rsidRDefault="002932C1" w:rsidP="00357D99">
      <w:pPr>
        <w:pStyle w:val="Heading1"/>
      </w:pPr>
      <w:bookmarkStart w:id="30" w:name="_Toc51515089"/>
      <w:r w:rsidRPr="000015A4">
        <w:t>Contacts</w:t>
      </w:r>
      <w:bookmarkEnd w:id="30"/>
    </w:p>
    <w:p w14:paraId="1008C9FC" w14:textId="76460ECC" w:rsidR="002932C1" w:rsidRPr="000015A4" w:rsidRDefault="002932C1" w:rsidP="009D12EE">
      <w:pPr>
        <w:ind w:left="426"/>
        <w:rPr>
          <w:rFonts w:ascii="Calibri" w:hAnsi="Calibri" w:cs="Arial-ItalicMT"/>
          <w:i/>
          <w:iCs/>
          <w:color w:val="000000"/>
        </w:rPr>
      </w:pPr>
      <w:r w:rsidRPr="000015A4">
        <w:rPr>
          <w:rFonts w:ascii="Calibri" w:hAnsi="Calibri" w:cs="ArialMT"/>
          <w:color w:val="000000"/>
        </w:rPr>
        <w:t xml:space="preserve">If you have any queries or concerns regarding these policies/procedures then please contact </w:t>
      </w:r>
      <w:r w:rsidR="00C80471" w:rsidRPr="000015A4">
        <w:rPr>
          <w:rFonts w:ascii="Calibri" w:hAnsi="Calibri" w:cs="ArialMT"/>
          <w:color w:val="000000"/>
        </w:rPr>
        <w:t>Mr Phil Brookes</w:t>
      </w:r>
      <w:r w:rsidR="00C80471" w:rsidRPr="000015A4">
        <w:rPr>
          <w:rFonts w:ascii="Calibri" w:hAnsi="Calibri" w:cs="ArialMT"/>
          <w:b/>
          <w:i/>
          <w:color w:val="000000"/>
        </w:rPr>
        <w:t xml:space="preserve"> </w:t>
      </w:r>
      <w:r w:rsidRPr="000015A4">
        <w:rPr>
          <w:rFonts w:ascii="Calibri" w:hAnsi="Calibri" w:cs="ArialMT"/>
          <w:color w:val="000000"/>
        </w:rPr>
        <w:t>Head</w:t>
      </w:r>
      <w:r w:rsidR="002B7E16">
        <w:rPr>
          <w:rFonts w:ascii="Calibri" w:hAnsi="Calibri" w:cs="ArialMT"/>
          <w:color w:val="000000"/>
        </w:rPr>
        <w:t xml:space="preserve"> of School</w:t>
      </w:r>
      <w:r w:rsidRPr="000015A4">
        <w:rPr>
          <w:rFonts w:ascii="Calibri" w:hAnsi="Calibri" w:cs="Arial-ItalicMT"/>
          <w:i/>
          <w:iCs/>
          <w:color w:val="000000"/>
        </w:rPr>
        <w:t>.</w:t>
      </w:r>
    </w:p>
    <w:p w14:paraId="3C399413" w14:textId="77777777" w:rsidR="002932C1" w:rsidRPr="00861B1B" w:rsidRDefault="002932C1" w:rsidP="009D12EE">
      <w:pPr>
        <w:ind w:left="426"/>
        <w:rPr>
          <w:rFonts w:ascii="Calibri" w:hAnsi="Calibri" w:cs="ArialMT"/>
          <w:color w:val="000000"/>
        </w:rPr>
      </w:pPr>
    </w:p>
    <w:p w14:paraId="07F27A57" w14:textId="77777777" w:rsidR="0040294A" w:rsidRPr="000015A4" w:rsidRDefault="002932C1" w:rsidP="009D12EE">
      <w:pPr>
        <w:ind w:left="426"/>
        <w:rPr>
          <w:rFonts w:ascii="Calibri" w:hAnsi="Calibri"/>
        </w:rPr>
      </w:pPr>
      <w:r w:rsidRPr="000015A4">
        <w:rPr>
          <w:rFonts w:ascii="Calibri" w:hAnsi="Calibri"/>
        </w:rPr>
        <w:t xml:space="preserve">Further advice and information can be obtained from the Information Commissioner’s Office, </w:t>
      </w:r>
      <w:r w:rsidRPr="000015A4">
        <w:rPr>
          <w:rFonts w:ascii="Calibri" w:hAnsi="Calibri"/>
          <w:color w:val="0000FF"/>
        </w:rPr>
        <w:t xml:space="preserve">www.ico.gov.uk </w:t>
      </w:r>
      <w:r w:rsidRPr="000015A4">
        <w:rPr>
          <w:rFonts w:ascii="Calibri" w:hAnsi="Calibri"/>
        </w:rPr>
        <w:t xml:space="preserve">or </w:t>
      </w:r>
      <w:r w:rsidR="00C80471" w:rsidRPr="000015A4">
        <w:rPr>
          <w:rStyle w:val="Strong"/>
          <w:rFonts w:ascii="Calibri" w:hAnsi="Calibri"/>
        </w:rPr>
        <w:t>0303 123 1113</w:t>
      </w:r>
      <w:r w:rsidR="00C80471" w:rsidRPr="000015A4">
        <w:rPr>
          <w:rFonts w:ascii="Calibri" w:hAnsi="Calibri"/>
        </w:rPr>
        <w:t xml:space="preserve"> or 01625 545745</w:t>
      </w:r>
    </w:p>
    <w:p w14:paraId="7C4C227C" w14:textId="77777777" w:rsidR="00C80471" w:rsidRPr="00861B1B" w:rsidRDefault="00C80471" w:rsidP="001E35B5">
      <w:pPr>
        <w:ind w:left="284"/>
        <w:rPr>
          <w:rFonts w:ascii="Calibri" w:hAnsi="Calibri"/>
        </w:rPr>
      </w:pPr>
    </w:p>
    <w:sectPr w:rsidR="00C80471" w:rsidRPr="00861B1B">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F440" w14:textId="77777777" w:rsidR="00251764" w:rsidRDefault="00251764" w:rsidP="00861B1B">
      <w:r>
        <w:separator/>
      </w:r>
    </w:p>
  </w:endnote>
  <w:endnote w:type="continuationSeparator" w:id="0">
    <w:p w14:paraId="4BA3563B" w14:textId="77777777" w:rsidR="00251764" w:rsidRDefault="00251764" w:rsidP="0086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5C3E" w14:textId="77777777" w:rsidR="00861B1B" w:rsidRPr="00861B1B" w:rsidRDefault="00861B1B">
    <w:pPr>
      <w:pStyle w:val="Footer"/>
      <w:rPr>
        <w:color w:val="000000"/>
        <w:sz w:val="20"/>
        <w:szCs w:val="20"/>
      </w:rPr>
    </w:pPr>
    <w:r w:rsidRPr="00861B1B">
      <w:rPr>
        <w:sz w:val="20"/>
        <w:szCs w:val="20"/>
      </w:rPr>
      <w:t>EJS Data Protection Policy</w:t>
    </w:r>
  </w:p>
  <w:p w14:paraId="7665AA6F" w14:textId="77777777" w:rsidR="00861B1B" w:rsidRDefault="0011149A">
    <w:pPr>
      <w:pStyle w:val="Footer"/>
    </w:pPr>
    <w:r>
      <w:rPr>
        <w:noProof/>
      </w:rPr>
      <mc:AlternateContent>
        <mc:Choice Requires="wps">
          <w:drawing>
            <wp:anchor distT="0" distB="0" distL="114300" distR="114300" simplePos="0" relativeHeight="251659264" behindDoc="0" locked="0" layoutInCell="1" allowOverlap="1" wp14:anchorId="535B7BB8" wp14:editId="77A62DD0">
              <wp:simplePos x="0" y="0"/>
              <wp:positionH relativeFrom="page">
                <wp:posOffset>4908550</wp:posOffset>
              </wp:positionH>
              <wp:positionV relativeFrom="page">
                <wp:posOffset>9777730</wp:posOffset>
              </wp:positionV>
              <wp:extent cx="1508760" cy="401320"/>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01320"/>
                      </a:xfrm>
                      <a:prstGeom prst="rect">
                        <a:avLst/>
                      </a:prstGeom>
                      <a:noFill/>
                      <a:ln w="6350">
                        <a:noFill/>
                      </a:ln>
                      <a:effectLst/>
                    </wps:spPr>
                    <wps:txbx>
                      <w:txbxContent>
                        <w:p w14:paraId="156D4F17" w14:textId="77777777" w:rsidR="00861B1B" w:rsidRPr="00861B1B" w:rsidRDefault="00861B1B">
                          <w:pPr>
                            <w:pStyle w:val="Footer"/>
                            <w:jc w:val="right"/>
                            <w:rPr>
                              <w:rFonts w:ascii="Calibri" w:hAnsi="Calibri"/>
                              <w:color w:val="000000"/>
                              <w:sz w:val="40"/>
                              <w:szCs w:val="40"/>
                            </w:rPr>
                          </w:pPr>
                          <w:r w:rsidRPr="00861B1B">
                            <w:rPr>
                              <w:rFonts w:ascii="Calibri" w:hAnsi="Calibri"/>
                              <w:color w:val="000000"/>
                              <w:sz w:val="40"/>
                              <w:szCs w:val="40"/>
                            </w:rPr>
                            <w:fldChar w:fldCharType="begin"/>
                          </w:r>
                          <w:r w:rsidRPr="00861B1B">
                            <w:rPr>
                              <w:rFonts w:ascii="Calibri" w:hAnsi="Calibri"/>
                              <w:color w:val="000000"/>
                              <w:sz w:val="40"/>
                              <w:szCs w:val="40"/>
                            </w:rPr>
                            <w:instrText xml:space="preserve"> PAGE  \* Arabic  \* MERGEFORMAT </w:instrText>
                          </w:r>
                          <w:r w:rsidRPr="00861B1B">
                            <w:rPr>
                              <w:rFonts w:ascii="Calibri" w:hAnsi="Calibri"/>
                              <w:color w:val="000000"/>
                              <w:sz w:val="40"/>
                              <w:szCs w:val="40"/>
                            </w:rPr>
                            <w:fldChar w:fldCharType="separate"/>
                          </w:r>
                          <w:r w:rsidR="00D9145F">
                            <w:rPr>
                              <w:rFonts w:ascii="Calibri" w:hAnsi="Calibri"/>
                              <w:noProof/>
                              <w:color w:val="000000"/>
                              <w:sz w:val="40"/>
                              <w:szCs w:val="40"/>
                            </w:rPr>
                            <w:t>1</w:t>
                          </w:r>
                          <w:r w:rsidRPr="00861B1B">
                            <w:rPr>
                              <w:rFonts w:ascii="Calibri" w:hAnsi="Calibri"/>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5B7BB8" id="_x0000_t202" coordsize="21600,21600" o:spt="202" path="m,l,21600r21600,l21600,xe">
              <v:stroke joinstyle="miter"/>
              <v:path gradientshapeok="t" o:connecttype="rect"/>
            </v:shapetype>
            <v:shape id="Text Box 56" o:spid="_x0000_s1026" type="#_x0000_t202" style="position:absolute;margin-left:386.5pt;margin-top:769.9pt;width:118.8pt;height:3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" filled="f" stroked="f" strokeweight=".5pt">
              <v:textbox style="mso-fit-shape-to-text:t">
                <w:txbxContent>
                  <w:p w14:paraId="156D4F17" w14:textId="77777777" w:rsidR="00861B1B" w:rsidRPr="00861B1B" w:rsidRDefault="00861B1B">
                    <w:pPr>
                      <w:pStyle w:val="Footer"/>
                      <w:jc w:val="right"/>
                      <w:rPr>
                        <w:rFonts w:ascii="Calibri" w:hAnsi="Calibri"/>
                        <w:color w:val="000000"/>
                        <w:sz w:val="40"/>
                        <w:szCs w:val="40"/>
                      </w:rPr>
                    </w:pPr>
                    <w:r w:rsidRPr="00861B1B">
                      <w:rPr>
                        <w:rFonts w:ascii="Calibri" w:hAnsi="Calibri"/>
                        <w:color w:val="000000"/>
                        <w:sz w:val="40"/>
                        <w:szCs w:val="40"/>
                      </w:rPr>
                      <w:fldChar w:fldCharType="begin"/>
                    </w:r>
                    <w:r w:rsidRPr="00861B1B">
                      <w:rPr>
                        <w:rFonts w:ascii="Calibri" w:hAnsi="Calibri"/>
                        <w:color w:val="000000"/>
                        <w:sz w:val="40"/>
                        <w:szCs w:val="40"/>
                      </w:rPr>
                      <w:instrText xml:space="preserve"> PAGE  \* Arabic  \* MERGEFORMAT </w:instrText>
                    </w:r>
                    <w:r w:rsidRPr="00861B1B">
                      <w:rPr>
                        <w:rFonts w:ascii="Calibri" w:hAnsi="Calibri"/>
                        <w:color w:val="000000"/>
                        <w:sz w:val="40"/>
                        <w:szCs w:val="40"/>
                      </w:rPr>
                      <w:fldChar w:fldCharType="separate"/>
                    </w:r>
                    <w:r w:rsidR="00D9145F">
                      <w:rPr>
                        <w:rFonts w:ascii="Calibri" w:hAnsi="Calibri"/>
                        <w:noProof/>
                        <w:color w:val="000000"/>
                        <w:sz w:val="40"/>
                        <w:szCs w:val="40"/>
                      </w:rPr>
                      <w:t>1</w:t>
                    </w:r>
                    <w:r w:rsidRPr="00861B1B">
                      <w:rPr>
                        <w:rFonts w:ascii="Calibri" w:hAnsi="Calibri"/>
                        <w:color w:val="000000"/>
                        <w:sz w:val="40"/>
                        <w:szCs w:val="40"/>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60288" behindDoc="1" locked="0" layoutInCell="1" allowOverlap="1" wp14:anchorId="3D387AF3" wp14:editId="3AD195D1">
              <wp:simplePos x="0" y="0"/>
              <wp:positionH relativeFrom="page">
                <wp:posOffset>1143000</wp:posOffset>
              </wp:positionH>
              <wp:positionV relativeFrom="page">
                <wp:posOffset>9777730</wp:posOffset>
              </wp:positionV>
              <wp:extent cx="5274310" cy="36195"/>
              <wp:effectExtent l="0" t="0" r="2540" b="1905"/>
              <wp:wrapSquare wrapText="bothSides"/>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431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177AD10B" id="Rectangle 58" o:spid="_x0000_s1026" style="position:absolute;margin-left:90pt;margin-top:769.9pt;width:415.3pt;height:2.85pt;z-index:-25165619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" fillcolor="#4f81bd" stroked="f" strokeweight="2p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D9E4" w14:textId="77777777" w:rsidR="00251764" w:rsidRDefault="00251764" w:rsidP="00861B1B">
      <w:r>
        <w:separator/>
      </w:r>
    </w:p>
  </w:footnote>
  <w:footnote w:type="continuationSeparator" w:id="0">
    <w:p w14:paraId="66F8999E" w14:textId="77777777" w:rsidR="00251764" w:rsidRDefault="00251764" w:rsidP="00861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B31"/>
    <w:multiLevelType w:val="multilevel"/>
    <w:tmpl w:val="3D4C21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D376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D58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D31C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406245"/>
    <w:multiLevelType w:val="hybridMultilevel"/>
    <w:tmpl w:val="8766F9F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21CC5864"/>
    <w:multiLevelType w:val="multilevel"/>
    <w:tmpl w:val="3D4C21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3A774B7"/>
    <w:multiLevelType w:val="hybridMultilevel"/>
    <w:tmpl w:val="ADAC155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96070E4"/>
    <w:multiLevelType w:val="multilevel"/>
    <w:tmpl w:val="3D4C21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3985CCF"/>
    <w:multiLevelType w:val="hybridMultilevel"/>
    <w:tmpl w:val="9B02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6315E"/>
    <w:multiLevelType w:val="multilevel"/>
    <w:tmpl w:val="4394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2B0876"/>
    <w:multiLevelType w:val="multilevel"/>
    <w:tmpl w:val="90B04C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F62FC2"/>
    <w:multiLevelType w:val="multilevel"/>
    <w:tmpl w:val="3D4C21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68166195"/>
    <w:multiLevelType w:val="multilevel"/>
    <w:tmpl w:val="A6F6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160128"/>
    <w:multiLevelType w:val="multilevel"/>
    <w:tmpl w:val="F38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8964742">
    <w:abstractNumId w:val="6"/>
  </w:num>
  <w:num w:numId="2" w16cid:durableId="1081222667">
    <w:abstractNumId w:val="8"/>
  </w:num>
  <w:num w:numId="3" w16cid:durableId="1289706245">
    <w:abstractNumId w:val="3"/>
  </w:num>
  <w:num w:numId="4" w16cid:durableId="1419594945">
    <w:abstractNumId w:val="7"/>
  </w:num>
  <w:num w:numId="5" w16cid:durableId="1796872985">
    <w:abstractNumId w:val="11"/>
  </w:num>
  <w:num w:numId="6" w16cid:durableId="1702049734">
    <w:abstractNumId w:val="0"/>
  </w:num>
  <w:num w:numId="7" w16cid:durableId="74323894">
    <w:abstractNumId w:val="5"/>
  </w:num>
  <w:num w:numId="8" w16cid:durableId="1461073633">
    <w:abstractNumId w:val="13"/>
  </w:num>
  <w:num w:numId="9" w16cid:durableId="625818109">
    <w:abstractNumId w:val="12"/>
  </w:num>
  <w:num w:numId="10" w16cid:durableId="1989362689">
    <w:abstractNumId w:val="9"/>
  </w:num>
  <w:num w:numId="11" w16cid:durableId="1275942960">
    <w:abstractNumId w:val="4"/>
  </w:num>
  <w:num w:numId="12" w16cid:durableId="1583560119">
    <w:abstractNumId w:val="2"/>
  </w:num>
  <w:num w:numId="13" w16cid:durableId="273906779">
    <w:abstractNumId w:val="10"/>
  </w:num>
  <w:num w:numId="14" w16cid:durableId="8683020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C1"/>
    <w:rsid w:val="000014BB"/>
    <w:rsid w:val="000015A4"/>
    <w:rsid w:val="00030177"/>
    <w:rsid w:val="000358BB"/>
    <w:rsid w:val="00044737"/>
    <w:rsid w:val="00044A9C"/>
    <w:rsid w:val="00062037"/>
    <w:rsid w:val="000650E3"/>
    <w:rsid w:val="00071033"/>
    <w:rsid w:val="00075865"/>
    <w:rsid w:val="00075D9B"/>
    <w:rsid w:val="00082771"/>
    <w:rsid w:val="00086364"/>
    <w:rsid w:val="00091F96"/>
    <w:rsid w:val="000A15E8"/>
    <w:rsid w:val="000C05EA"/>
    <w:rsid w:val="000C3027"/>
    <w:rsid w:val="000E3840"/>
    <w:rsid w:val="000E45A5"/>
    <w:rsid w:val="00100D4E"/>
    <w:rsid w:val="00102CE7"/>
    <w:rsid w:val="0011149A"/>
    <w:rsid w:val="00112E26"/>
    <w:rsid w:val="00116AAA"/>
    <w:rsid w:val="00117F5D"/>
    <w:rsid w:val="001205D2"/>
    <w:rsid w:val="0012794D"/>
    <w:rsid w:val="001326E2"/>
    <w:rsid w:val="0014330C"/>
    <w:rsid w:val="00153AE4"/>
    <w:rsid w:val="001650C4"/>
    <w:rsid w:val="00165FDE"/>
    <w:rsid w:val="001674A9"/>
    <w:rsid w:val="00173A81"/>
    <w:rsid w:val="00175079"/>
    <w:rsid w:val="0019513E"/>
    <w:rsid w:val="001A3358"/>
    <w:rsid w:val="001B2401"/>
    <w:rsid w:val="001D321F"/>
    <w:rsid w:val="001D77FE"/>
    <w:rsid w:val="001E35B5"/>
    <w:rsid w:val="001E579B"/>
    <w:rsid w:val="00205051"/>
    <w:rsid w:val="0022131C"/>
    <w:rsid w:val="002341CD"/>
    <w:rsid w:val="0024261C"/>
    <w:rsid w:val="0024291A"/>
    <w:rsid w:val="00251764"/>
    <w:rsid w:val="00256859"/>
    <w:rsid w:val="0027309A"/>
    <w:rsid w:val="00273FD7"/>
    <w:rsid w:val="002778D1"/>
    <w:rsid w:val="002932C1"/>
    <w:rsid w:val="002A2700"/>
    <w:rsid w:val="002A2B88"/>
    <w:rsid w:val="002A5E22"/>
    <w:rsid w:val="002B7E16"/>
    <w:rsid w:val="002C035B"/>
    <w:rsid w:val="002C0BEB"/>
    <w:rsid w:val="002C2D6C"/>
    <w:rsid w:val="002C3540"/>
    <w:rsid w:val="002D0ED2"/>
    <w:rsid w:val="002D78A7"/>
    <w:rsid w:val="002E77ED"/>
    <w:rsid w:val="002F47DA"/>
    <w:rsid w:val="002F5309"/>
    <w:rsid w:val="00312731"/>
    <w:rsid w:val="00314B7A"/>
    <w:rsid w:val="00317DF3"/>
    <w:rsid w:val="00321C6B"/>
    <w:rsid w:val="00322219"/>
    <w:rsid w:val="00324CE5"/>
    <w:rsid w:val="0033378A"/>
    <w:rsid w:val="003437EE"/>
    <w:rsid w:val="00357D99"/>
    <w:rsid w:val="003607E4"/>
    <w:rsid w:val="0036114A"/>
    <w:rsid w:val="00371BAC"/>
    <w:rsid w:val="00390A9B"/>
    <w:rsid w:val="00391180"/>
    <w:rsid w:val="003939C6"/>
    <w:rsid w:val="003A7567"/>
    <w:rsid w:val="003B2591"/>
    <w:rsid w:val="003B34CF"/>
    <w:rsid w:val="003B457D"/>
    <w:rsid w:val="003B50E6"/>
    <w:rsid w:val="003C5B1C"/>
    <w:rsid w:val="003C6DFE"/>
    <w:rsid w:val="003D1390"/>
    <w:rsid w:val="003D334E"/>
    <w:rsid w:val="003E6198"/>
    <w:rsid w:val="003F35C3"/>
    <w:rsid w:val="003F4F6B"/>
    <w:rsid w:val="0040294A"/>
    <w:rsid w:val="00413D7E"/>
    <w:rsid w:val="00420778"/>
    <w:rsid w:val="00424F3E"/>
    <w:rsid w:val="00444A68"/>
    <w:rsid w:val="0044594B"/>
    <w:rsid w:val="004563F6"/>
    <w:rsid w:val="00470EBA"/>
    <w:rsid w:val="0047192A"/>
    <w:rsid w:val="004810D3"/>
    <w:rsid w:val="004A0D89"/>
    <w:rsid w:val="004A34B8"/>
    <w:rsid w:val="004A7466"/>
    <w:rsid w:val="004C1E27"/>
    <w:rsid w:val="004C2405"/>
    <w:rsid w:val="004D3FE8"/>
    <w:rsid w:val="004D53D5"/>
    <w:rsid w:val="004D55D0"/>
    <w:rsid w:val="00511FE2"/>
    <w:rsid w:val="005148CC"/>
    <w:rsid w:val="00515DBD"/>
    <w:rsid w:val="005223F2"/>
    <w:rsid w:val="0053128C"/>
    <w:rsid w:val="00533E18"/>
    <w:rsid w:val="0054141F"/>
    <w:rsid w:val="00550A0A"/>
    <w:rsid w:val="005511AE"/>
    <w:rsid w:val="00552ACA"/>
    <w:rsid w:val="00555227"/>
    <w:rsid w:val="005759B1"/>
    <w:rsid w:val="0058277A"/>
    <w:rsid w:val="005862AB"/>
    <w:rsid w:val="00594FAF"/>
    <w:rsid w:val="005A293F"/>
    <w:rsid w:val="005B5599"/>
    <w:rsid w:val="005C2EF4"/>
    <w:rsid w:val="005C32AB"/>
    <w:rsid w:val="005D0573"/>
    <w:rsid w:val="005D6706"/>
    <w:rsid w:val="005E16E5"/>
    <w:rsid w:val="005F2EF2"/>
    <w:rsid w:val="0060000F"/>
    <w:rsid w:val="00602E65"/>
    <w:rsid w:val="00614A56"/>
    <w:rsid w:val="00614EB1"/>
    <w:rsid w:val="006156E6"/>
    <w:rsid w:val="00621D29"/>
    <w:rsid w:val="006325AB"/>
    <w:rsid w:val="00641EE2"/>
    <w:rsid w:val="00646F3B"/>
    <w:rsid w:val="00676164"/>
    <w:rsid w:val="00682C9B"/>
    <w:rsid w:val="00686B50"/>
    <w:rsid w:val="00690527"/>
    <w:rsid w:val="00692C53"/>
    <w:rsid w:val="0069691A"/>
    <w:rsid w:val="006A352E"/>
    <w:rsid w:val="006B7226"/>
    <w:rsid w:val="006D311C"/>
    <w:rsid w:val="006E0756"/>
    <w:rsid w:val="006F50E2"/>
    <w:rsid w:val="00702164"/>
    <w:rsid w:val="0070387B"/>
    <w:rsid w:val="00712E0E"/>
    <w:rsid w:val="0071437B"/>
    <w:rsid w:val="00736BF2"/>
    <w:rsid w:val="007446C0"/>
    <w:rsid w:val="00745046"/>
    <w:rsid w:val="007515BB"/>
    <w:rsid w:val="0075742D"/>
    <w:rsid w:val="00766A6B"/>
    <w:rsid w:val="0077031A"/>
    <w:rsid w:val="007801C6"/>
    <w:rsid w:val="00784743"/>
    <w:rsid w:val="007860B7"/>
    <w:rsid w:val="007929FC"/>
    <w:rsid w:val="00793260"/>
    <w:rsid w:val="007A359A"/>
    <w:rsid w:val="007A4E0D"/>
    <w:rsid w:val="007A5CF5"/>
    <w:rsid w:val="007B0A5D"/>
    <w:rsid w:val="007B2D7E"/>
    <w:rsid w:val="007C3A8D"/>
    <w:rsid w:val="007C3B70"/>
    <w:rsid w:val="007C5287"/>
    <w:rsid w:val="007F2BAC"/>
    <w:rsid w:val="007F5258"/>
    <w:rsid w:val="0080618F"/>
    <w:rsid w:val="008100CD"/>
    <w:rsid w:val="00811BFD"/>
    <w:rsid w:val="00826CE8"/>
    <w:rsid w:val="008275DA"/>
    <w:rsid w:val="0083110A"/>
    <w:rsid w:val="0084153E"/>
    <w:rsid w:val="00844D6E"/>
    <w:rsid w:val="00846ABA"/>
    <w:rsid w:val="00853FE7"/>
    <w:rsid w:val="00855F01"/>
    <w:rsid w:val="008563A5"/>
    <w:rsid w:val="00861B1B"/>
    <w:rsid w:val="00873872"/>
    <w:rsid w:val="00893B6D"/>
    <w:rsid w:val="00894A2A"/>
    <w:rsid w:val="008A7746"/>
    <w:rsid w:val="008B65C1"/>
    <w:rsid w:val="008B6DBE"/>
    <w:rsid w:val="008E316E"/>
    <w:rsid w:val="008E3187"/>
    <w:rsid w:val="008E7F97"/>
    <w:rsid w:val="009017D5"/>
    <w:rsid w:val="0091560D"/>
    <w:rsid w:val="00916AF6"/>
    <w:rsid w:val="00936547"/>
    <w:rsid w:val="00950C89"/>
    <w:rsid w:val="009572B9"/>
    <w:rsid w:val="00957641"/>
    <w:rsid w:val="00960615"/>
    <w:rsid w:val="00984126"/>
    <w:rsid w:val="009B4331"/>
    <w:rsid w:val="009B5644"/>
    <w:rsid w:val="009B6F53"/>
    <w:rsid w:val="009D12EE"/>
    <w:rsid w:val="009D1674"/>
    <w:rsid w:val="009E62A8"/>
    <w:rsid w:val="009E6AEE"/>
    <w:rsid w:val="00A1775D"/>
    <w:rsid w:val="00A24A5A"/>
    <w:rsid w:val="00A31939"/>
    <w:rsid w:val="00A3605C"/>
    <w:rsid w:val="00A368D9"/>
    <w:rsid w:val="00A37194"/>
    <w:rsid w:val="00A45BFD"/>
    <w:rsid w:val="00A50B04"/>
    <w:rsid w:val="00A624B0"/>
    <w:rsid w:val="00A62D03"/>
    <w:rsid w:val="00A64CB1"/>
    <w:rsid w:val="00A66D97"/>
    <w:rsid w:val="00A710B0"/>
    <w:rsid w:val="00A736DF"/>
    <w:rsid w:val="00A81688"/>
    <w:rsid w:val="00A945B8"/>
    <w:rsid w:val="00A96932"/>
    <w:rsid w:val="00AD38D0"/>
    <w:rsid w:val="00AE4345"/>
    <w:rsid w:val="00AE54F4"/>
    <w:rsid w:val="00AE590F"/>
    <w:rsid w:val="00AF0C0E"/>
    <w:rsid w:val="00AF25CA"/>
    <w:rsid w:val="00B07482"/>
    <w:rsid w:val="00B14469"/>
    <w:rsid w:val="00B17E86"/>
    <w:rsid w:val="00B217A4"/>
    <w:rsid w:val="00B22187"/>
    <w:rsid w:val="00B30349"/>
    <w:rsid w:val="00B413C6"/>
    <w:rsid w:val="00B4387E"/>
    <w:rsid w:val="00B864E9"/>
    <w:rsid w:val="00B902B0"/>
    <w:rsid w:val="00B94696"/>
    <w:rsid w:val="00B95E97"/>
    <w:rsid w:val="00B96DD3"/>
    <w:rsid w:val="00BA5AEF"/>
    <w:rsid w:val="00BB39B3"/>
    <w:rsid w:val="00BB7BAA"/>
    <w:rsid w:val="00BE0EBB"/>
    <w:rsid w:val="00BE6AE9"/>
    <w:rsid w:val="00BF1A32"/>
    <w:rsid w:val="00BF1D78"/>
    <w:rsid w:val="00BF4A83"/>
    <w:rsid w:val="00BF6AB1"/>
    <w:rsid w:val="00C04F7A"/>
    <w:rsid w:val="00C13DDD"/>
    <w:rsid w:val="00C16565"/>
    <w:rsid w:val="00C178DB"/>
    <w:rsid w:val="00C21528"/>
    <w:rsid w:val="00C23FA8"/>
    <w:rsid w:val="00C25FD3"/>
    <w:rsid w:val="00C30130"/>
    <w:rsid w:val="00C36AC8"/>
    <w:rsid w:val="00C41C3B"/>
    <w:rsid w:val="00C54F0E"/>
    <w:rsid w:val="00C67B92"/>
    <w:rsid w:val="00C710DD"/>
    <w:rsid w:val="00C776A9"/>
    <w:rsid w:val="00C80471"/>
    <w:rsid w:val="00C8408F"/>
    <w:rsid w:val="00C84693"/>
    <w:rsid w:val="00C865D4"/>
    <w:rsid w:val="00C87837"/>
    <w:rsid w:val="00C930B2"/>
    <w:rsid w:val="00C97E67"/>
    <w:rsid w:val="00CE04E6"/>
    <w:rsid w:val="00CE4E62"/>
    <w:rsid w:val="00D11C03"/>
    <w:rsid w:val="00D169AD"/>
    <w:rsid w:val="00D2359D"/>
    <w:rsid w:val="00D41333"/>
    <w:rsid w:val="00D431CF"/>
    <w:rsid w:val="00D54EC4"/>
    <w:rsid w:val="00D56FFA"/>
    <w:rsid w:val="00D75DE1"/>
    <w:rsid w:val="00D82E1C"/>
    <w:rsid w:val="00D86166"/>
    <w:rsid w:val="00D9041F"/>
    <w:rsid w:val="00D90AA1"/>
    <w:rsid w:val="00D9145F"/>
    <w:rsid w:val="00D92CED"/>
    <w:rsid w:val="00DA5D82"/>
    <w:rsid w:val="00DB175B"/>
    <w:rsid w:val="00DB3090"/>
    <w:rsid w:val="00DC06FB"/>
    <w:rsid w:val="00DC0EFC"/>
    <w:rsid w:val="00DC491B"/>
    <w:rsid w:val="00DD13EE"/>
    <w:rsid w:val="00DD1F13"/>
    <w:rsid w:val="00DD311E"/>
    <w:rsid w:val="00DD716D"/>
    <w:rsid w:val="00DE360A"/>
    <w:rsid w:val="00DF01F6"/>
    <w:rsid w:val="00DF582A"/>
    <w:rsid w:val="00E06C40"/>
    <w:rsid w:val="00E102E1"/>
    <w:rsid w:val="00E11D7F"/>
    <w:rsid w:val="00E1354C"/>
    <w:rsid w:val="00E204F7"/>
    <w:rsid w:val="00E316E6"/>
    <w:rsid w:val="00E372DF"/>
    <w:rsid w:val="00E44387"/>
    <w:rsid w:val="00E50A96"/>
    <w:rsid w:val="00E66078"/>
    <w:rsid w:val="00E7360E"/>
    <w:rsid w:val="00E75262"/>
    <w:rsid w:val="00E75842"/>
    <w:rsid w:val="00E948FF"/>
    <w:rsid w:val="00E96FF3"/>
    <w:rsid w:val="00EA399E"/>
    <w:rsid w:val="00EB55FA"/>
    <w:rsid w:val="00EC124A"/>
    <w:rsid w:val="00ED4CE7"/>
    <w:rsid w:val="00EE19F7"/>
    <w:rsid w:val="00EE27C5"/>
    <w:rsid w:val="00EE54DF"/>
    <w:rsid w:val="00F0098A"/>
    <w:rsid w:val="00F01087"/>
    <w:rsid w:val="00F0270A"/>
    <w:rsid w:val="00F05537"/>
    <w:rsid w:val="00F079B0"/>
    <w:rsid w:val="00F10404"/>
    <w:rsid w:val="00F10DCB"/>
    <w:rsid w:val="00F35FF6"/>
    <w:rsid w:val="00F37383"/>
    <w:rsid w:val="00F40E55"/>
    <w:rsid w:val="00F42768"/>
    <w:rsid w:val="00F45713"/>
    <w:rsid w:val="00F4738A"/>
    <w:rsid w:val="00F5185C"/>
    <w:rsid w:val="00F71A48"/>
    <w:rsid w:val="00F738CA"/>
    <w:rsid w:val="00F83D15"/>
    <w:rsid w:val="00F926AE"/>
    <w:rsid w:val="00F974BE"/>
    <w:rsid w:val="00FA1651"/>
    <w:rsid w:val="00FA34A8"/>
    <w:rsid w:val="00FA75D8"/>
    <w:rsid w:val="00FB3E29"/>
    <w:rsid w:val="00FB5589"/>
    <w:rsid w:val="00FC0C87"/>
    <w:rsid w:val="00FC4163"/>
    <w:rsid w:val="00FD634A"/>
    <w:rsid w:val="00FE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CEB27"/>
  <w15:docId w15:val="{6F5E4B01-EEBD-4F04-BBC9-8D7D563A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4E6"/>
    <w:rPr>
      <w:rFonts w:asciiTheme="minorHAnsi" w:hAnsiTheme="minorHAnsi"/>
      <w:sz w:val="24"/>
      <w:szCs w:val="24"/>
    </w:rPr>
  </w:style>
  <w:style w:type="paragraph" w:styleId="Heading1">
    <w:name w:val="heading 1"/>
    <w:basedOn w:val="Normal"/>
    <w:next w:val="Normal"/>
    <w:link w:val="Heading1Char"/>
    <w:uiPriority w:val="9"/>
    <w:qFormat/>
    <w:rsid w:val="005511AE"/>
    <w:pPr>
      <w:keepNext/>
      <w:keepLines/>
      <w:spacing w:before="240" w:line="276" w:lineRule="auto"/>
      <w:outlineLvl w:val="0"/>
    </w:pPr>
    <w:rPr>
      <w:rFonts w:eastAsiaTheme="majorEastAsia" w:cstheme="majorBidi"/>
      <w:sz w:val="32"/>
      <w:szCs w:val="32"/>
      <w:lang w:eastAsia="en-US"/>
    </w:rPr>
  </w:style>
  <w:style w:type="paragraph" w:styleId="Heading2">
    <w:name w:val="heading 2"/>
    <w:basedOn w:val="Normal"/>
    <w:next w:val="Normal"/>
    <w:link w:val="Heading2Char"/>
    <w:unhideWhenUsed/>
    <w:qFormat/>
    <w:rsid w:val="00CE04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511AE"/>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E3840"/>
    <w:rPr>
      <w:b/>
      <w:bCs/>
    </w:rPr>
  </w:style>
  <w:style w:type="paragraph" w:styleId="ListParagraph">
    <w:name w:val="List Paragraph"/>
    <w:basedOn w:val="Normal"/>
    <w:uiPriority w:val="34"/>
    <w:qFormat/>
    <w:rsid w:val="00C80471"/>
    <w:pPr>
      <w:ind w:left="720"/>
    </w:pPr>
  </w:style>
  <w:style w:type="paragraph" w:styleId="Header">
    <w:name w:val="header"/>
    <w:basedOn w:val="Normal"/>
    <w:link w:val="HeaderChar"/>
    <w:rsid w:val="00861B1B"/>
    <w:pPr>
      <w:tabs>
        <w:tab w:val="center" w:pos="4513"/>
        <w:tab w:val="right" w:pos="9026"/>
      </w:tabs>
    </w:pPr>
  </w:style>
  <w:style w:type="character" w:customStyle="1" w:styleId="HeaderChar">
    <w:name w:val="Header Char"/>
    <w:link w:val="Header"/>
    <w:rsid w:val="00861B1B"/>
    <w:rPr>
      <w:rFonts w:ascii="Arial" w:hAnsi="Arial"/>
      <w:sz w:val="24"/>
      <w:szCs w:val="24"/>
    </w:rPr>
  </w:style>
  <w:style w:type="paragraph" w:styleId="Footer">
    <w:name w:val="footer"/>
    <w:basedOn w:val="Normal"/>
    <w:link w:val="FooterChar"/>
    <w:uiPriority w:val="99"/>
    <w:rsid w:val="00861B1B"/>
    <w:pPr>
      <w:tabs>
        <w:tab w:val="center" w:pos="4513"/>
        <w:tab w:val="right" w:pos="9026"/>
      </w:tabs>
    </w:pPr>
  </w:style>
  <w:style w:type="character" w:customStyle="1" w:styleId="FooterChar">
    <w:name w:val="Footer Char"/>
    <w:link w:val="Footer"/>
    <w:uiPriority w:val="99"/>
    <w:rsid w:val="00861B1B"/>
    <w:rPr>
      <w:rFonts w:ascii="Arial" w:hAnsi="Arial"/>
      <w:sz w:val="24"/>
      <w:szCs w:val="24"/>
    </w:rPr>
  </w:style>
  <w:style w:type="paragraph" w:customStyle="1" w:styleId="A0E349F008B644AAB6A282E0D042D17E">
    <w:name w:val="A0E349F008B644AAB6A282E0D042D17E"/>
    <w:rsid w:val="00861B1B"/>
    <w:pPr>
      <w:spacing w:after="200" w:line="276" w:lineRule="auto"/>
    </w:pPr>
    <w:rPr>
      <w:rFonts w:ascii="Calibri" w:eastAsia="MS Mincho" w:hAnsi="Calibri" w:cs="Arial"/>
      <w:sz w:val="22"/>
      <w:szCs w:val="22"/>
      <w:lang w:val="en-US" w:eastAsia="ja-JP"/>
    </w:rPr>
  </w:style>
  <w:style w:type="paragraph" w:styleId="BalloonText">
    <w:name w:val="Balloon Text"/>
    <w:basedOn w:val="Normal"/>
    <w:link w:val="BalloonTextChar"/>
    <w:rsid w:val="00861B1B"/>
    <w:rPr>
      <w:rFonts w:ascii="Tahoma" w:hAnsi="Tahoma" w:cs="Tahoma"/>
      <w:sz w:val="16"/>
      <w:szCs w:val="16"/>
    </w:rPr>
  </w:style>
  <w:style w:type="character" w:customStyle="1" w:styleId="BalloonTextChar">
    <w:name w:val="Balloon Text Char"/>
    <w:link w:val="BalloonText"/>
    <w:rsid w:val="00861B1B"/>
    <w:rPr>
      <w:rFonts w:ascii="Tahoma" w:hAnsi="Tahoma" w:cs="Tahoma"/>
      <w:sz w:val="16"/>
      <w:szCs w:val="16"/>
    </w:rPr>
  </w:style>
  <w:style w:type="character" w:customStyle="1" w:styleId="Heading1Char">
    <w:name w:val="Heading 1 Char"/>
    <w:basedOn w:val="DefaultParagraphFont"/>
    <w:link w:val="Heading1"/>
    <w:uiPriority w:val="9"/>
    <w:rsid w:val="005511AE"/>
    <w:rPr>
      <w:rFonts w:asciiTheme="minorHAnsi" w:eastAsiaTheme="majorEastAsia" w:hAnsiTheme="minorHAnsi" w:cstheme="majorBidi"/>
      <w:sz w:val="32"/>
      <w:szCs w:val="32"/>
      <w:lang w:eastAsia="en-US"/>
    </w:rPr>
  </w:style>
  <w:style w:type="character" w:customStyle="1" w:styleId="Heading3Char">
    <w:name w:val="Heading 3 Char"/>
    <w:basedOn w:val="DefaultParagraphFont"/>
    <w:link w:val="Heading3"/>
    <w:uiPriority w:val="9"/>
    <w:rsid w:val="005511AE"/>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5511AE"/>
    <w:rPr>
      <w:color w:val="0000FF" w:themeColor="hyperlink"/>
      <w:u w:val="single"/>
    </w:rPr>
  </w:style>
  <w:style w:type="character" w:customStyle="1" w:styleId="Heading2Char">
    <w:name w:val="Heading 2 Char"/>
    <w:basedOn w:val="DefaultParagraphFont"/>
    <w:link w:val="Heading2"/>
    <w:rsid w:val="00CE04E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62037"/>
    <w:rPr>
      <w:color w:val="605E5C"/>
      <w:shd w:val="clear" w:color="auto" w:fill="E1DFDD"/>
    </w:rPr>
  </w:style>
  <w:style w:type="paragraph" w:styleId="TOCHeading">
    <w:name w:val="TOC Heading"/>
    <w:basedOn w:val="Heading1"/>
    <w:next w:val="Normal"/>
    <w:uiPriority w:val="39"/>
    <w:unhideWhenUsed/>
    <w:qFormat/>
    <w:rsid w:val="00F4738A"/>
    <w:pPr>
      <w:spacing w:line="259"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4738A"/>
    <w:pPr>
      <w:spacing w:after="100"/>
    </w:pPr>
  </w:style>
  <w:style w:type="paragraph" w:styleId="NormalWeb">
    <w:name w:val="Normal (Web)"/>
    <w:basedOn w:val="Normal"/>
    <w:uiPriority w:val="99"/>
    <w:semiHidden/>
    <w:unhideWhenUsed/>
    <w:rsid w:val="00F83D15"/>
    <w:pPr>
      <w:spacing w:before="100" w:beforeAutospacing="1" w:after="100" w:afterAutospacing="1"/>
    </w:pPr>
    <w:rPr>
      <w:rFonts w:ascii="Times New Roman" w:hAnsi="Times New Roman"/>
    </w:rPr>
  </w:style>
  <w:style w:type="character" w:styleId="FollowedHyperlink">
    <w:name w:val="FollowedHyperlink"/>
    <w:basedOn w:val="DefaultParagraphFont"/>
    <w:semiHidden/>
    <w:unhideWhenUsed/>
    <w:rsid w:val="00F518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0670">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35028023">
      <w:bodyDiv w:val="1"/>
      <w:marLeft w:val="0"/>
      <w:marRight w:val="0"/>
      <w:marTop w:val="0"/>
      <w:marBottom w:val="0"/>
      <w:divBdr>
        <w:top w:val="none" w:sz="0" w:space="0" w:color="auto"/>
        <w:left w:val="none" w:sz="0" w:space="0" w:color="auto"/>
        <w:bottom w:val="none" w:sz="0" w:space="0" w:color="auto"/>
        <w:right w:val="none" w:sz="0" w:space="0" w:color="auto"/>
      </w:divBdr>
    </w:div>
    <w:div w:id="1089736179">
      <w:bodyDiv w:val="1"/>
      <w:marLeft w:val="0"/>
      <w:marRight w:val="0"/>
      <w:marTop w:val="0"/>
      <w:marBottom w:val="0"/>
      <w:divBdr>
        <w:top w:val="none" w:sz="0" w:space="0" w:color="auto"/>
        <w:left w:val="none" w:sz="0" w:space="0" w:color="auto"/>
        <w:bottom w:val="none" w:sz="0" w:space="0" w:color="auto"/>
        <w:right w:val="none" w:sz="0" w:space="0" w:color="auto"/>
      </w:divBdr>
      <w:divsChild>
        <w:div w:id="2015302218">
          <w:marLeft w:val="0"/>
          <w:marRight w:val="0"/>
          <w:marTop w:val="0"/>
          <w:marBottom w:val="0"/>
          <w:divBdr>
            <w:top w:val="none" w:sz="0" w:space="0" w:color="auto"/>
            <w:left w:val="none" w:sz="0" w:space="0" w:color="auto"/>
            <w:bottom w:val="none" w:sz="0" w:space="0" w:color="auto"/>
            <w:right w:val="none" w:sz="0" w:space="0" w:color="auto"/>
          </w:divBdr>
        </w:div>
      </w:divsChild>
    </w:div>
    <w:div w:id="1205828093">
      <w:bodyDiv w:val="1"/>
      <w:marLeft w:val="0"/>
      <w:marRight w:val="0"/>
      <w:marTop w:val="0"/>
      <w:marBottom w:val="0"/>
      <w:divBdr>
        <w:top w:val="none" w:sz="0" w:space="0" w:color="auto"/>
        <w:left w:val="none" w:sz="0" w:space="0" w:color="auto"/>
        <w:bottom w:val="none" w:sz="0" w:space="0" w:color="auto"/>
        <w:right w:val="none" w:sz="0" w:space="0" w:color="auto"/>
      </w:divBdr>
      <w:divsChild>
        <w:div w:id="70859840">
          <w:marLeft w:val="0"/>
          <w:marRight w:val="0"/>
          <w:marTop w:val="0"/>
          <w:marBottom w:val="0"/>
          <w:divBdr>
            <w:top w:val="none" w:sz="0" w:space="0" w:color="auto"/>
            <w:left w:val="none" w:sz="0" w:space="0" w:color="auto"/>
            <w:bottom w:val="none" w:sz="0" w:space="0" w:color="auto"/>
            <w:right w:val="none" w:sz="0" w:space="0" w:color="auto"/>
          </w:divBdr>
        </w:div>
      </w:divsChild>
    </w:div>
    <w:div w:id="1870337562">
      <w:bodyDiv w:val="1"/>
      <w:marLeft w:val="0"/>
      <w:marRight w:val="0"/>
      <w:marTop w:val="0"/>
      <w:marBottom w:val="0"/>
      <w:divBdr>
        <w:top w:val="none" w:sz="0" w:space="0" w:color="auto"/>
        <w:left w:val="none" w:sz="0" w:space="0" w:color="auto"/>
        <w:bottom w:val="none" w:sz="0" w:space="0" w:color="auto"/>
        <w:right w:val="none" w:sz="0" w:space="0" w:color="auto"/>
      </w:divBdr>
      <w:divsChild>
        <w:div w:id="1437871453">
          <w:marLeft w:val="0"/>
          <w:marRight w:val="0"/>
          <w:marTop w:val="0"/>
          <w:marBottom w:val="0"/>
          <w:divBdr>
            <w:top w:val="none" w:sz="0" w:space="0" w:color="auto"/>
            <w:left w:val="none" w:sz="0" w:space="0" w:color="auto"/>
            <w:bottom w:val="none" w:sz="0" w:space="0" w:color="auto"/>
            <w:right w:val="none" w:sz="0" w:space="0" w:color="auto"/>
          </w:divBdr>
        </w:div>
      </w:divsChild>
    </w:div>
    <w:div w:id="2043051671">
      <w:bodyDiv w:val="1"/>
      <w:marLeft w:val="0"/>
      <w:marRight w:val="0"/>
      <w:marTop w:val="0"/>
      <w:marBottom w:val="0"/>
      <w:divBdr>
        <w:top w:val="none" w:sz="0" w:space="0" w:color="auto"/>
        <w:left w:val="none" w:sz="0" w:space="0" w:color="auto"/>
        <w:bottom w:val="none" w:sz="0" w:space="0" w:color="auto"/>
        <w:right w:val="none" w:sz="0" w:space="0" w:color="auto"/>
      </w:divBdr>
      <w:divsChild>
        <w:div w:id="56974164">
          <w:marLeft w:val="0"/>
          <w:marRight w:val="0"/>
          <w:marTop w:val="15"/>
          <w:marBottom w:val="0"/>
          <w:divBdr>
            <w:top w:val="none" w:sz="0" w:space="0" w:color="auto"/>
            <w:left w:val="none" w:sz="0" w:space="0" w:color="auto"/>
            <w:bottom w:val="none" w:sz="0" w:space="0" w:color="auto"/>
            <w:right w:val="none" w:sz="0" w:space="0" w:color="auto"/>
          </w:divBdr>
          <w:divsChild>
            <w:div w:id="1787382322">
              <w:marLeft w:val="0"/>
              <w:marRight w:val="0"/>
              <w:marTop w:val="0"/>
              <w:marBottom w:val="0"/>
              <w:divBdr>
                <w:top w:val="none" w:sz="0" w:space="0" w:color="auto"/>
                <w:left w:val="none" w:sz="0" w:space="0" w:color="auto"/>
                <w:bottom w:val="none" w:sz="0" w:space="0" w:color="auto"/>
                <w:right w:val="none" w:sz="0" w:space="0" w:color="auto"/>
              </w:divBdr>
            </w:div>
          </w:divsChild>
        </w:div>
        <w:div w:id="1501850043">
          <w:marLeft w:val="0"/>
          <w:marRight w:val="0"/>
          <w:marTop w:val="15"/>
          <w:marBottom w:val="0"/>
          <w:divBdr>
            <w:top w:val="none" w:sz="0" w:space="0" w:color="auto"/>
            <w:left w:val="none" w:sz="0" w:space="0" w:color="auto"/>
            <w:bottom w:val="none" w:sz="0" w:space="0" w:color="auto"/>
            <w:right w:val="none" w:sz="0" w:space="0" w:color="auto"/>
          </w:divBdr>
          <w:divsChild>
            <w:div w:id="1055810756">
              <w:marLeft w:val="0"/>
              <w:marRight w:val="0"/>
              <w:marTop w:val="0"/>
              <w:marBottom w:val="0"/>
              <w:divBdr>
                <w:top w:val="none" w:sz="0" w:space="0" w:color="auto"/>
                <w:left w:val="none" w:sz="0" w:space="0" w:color="auto"/>
                <w:bottom w:val="none" w:sz="0" w:space="0" w:color="auto"/>
                <w:right w:val="none" w:sz="0" w:space="0" w:color="auto"/>
              </w:divBdr>
            </w:div>
          </w:divsChild>
        </w:div>
        <w:div w:id="1989743604">
          <w:marLeft w:val="0"/>
          <w:marRight w:val="0"/>
          <w:marTop w:val="15"/>
          <w:marBottom w:val="0"/>
          <w:divBdr>
            <w:top w:val="none" w:sz="0" w:space="0" w:color="auto"/>
            <w:left w:val="none" w:sz="0" w:space="0" w:color="auto"/>
            <w:bottom w:val="none" w:sz="0" w:space="0" w:color="auto"/>
            <w:right w:val="none" w:sz="0" w:space="0" w:color="auto"/>
          </w:divBdr>
          <w:divsChild>
            <w:div w:id="16285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9396">
      <w:bodyDiv w:val="1"/>
      <w:marLeft w:val="0"/>
      <w:marRight w:val="0"/>
      <w:marTop w:val="0"/>
      <w:marBottom w:val="0"/>
      <w:divBdr>
        <w:top w:val="none" w:sz="0" w:space="0" w:color="auto"/>
        <w:left w:val="none" w:sz="0" w:space="0" w:color="auto"/>
        <w:bottom w:val="none" w:sz="0" w:space="0" w:color="auto"/>
        <w:right w:val="none" w:sz="0" w:space="0" w:color="auto"/>
      </w:divBdr>
    </w:div>
    <w:div w:id="2130468649">
      <w:bodyDiv w:val="1"/>
      <w:marLeft w:val="0"/>
      <w:marRight w:val="0"/>
      <w:marTop w:val="0"/>
      <w:marBottom w:val="0"/>
      <w:divBdr>
        <w:top w:val="none" w:sz="0" w:space="0" w:color="auto"/>
        <w:left w:val="none" w:sz="0" w:space="0" w:color="auto"/>
        <w:bottom w:val="none" w:sz="0" w:space="0" w:color="auto"/>
        <w:right w:val="none" w:sz="0" w:space="0" w:color="auto"/>
      </w:divBdr>
      <w:divsChild>
        <w:div w:id="193528193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ico.org.uk/for-organisations/guide-to-data-protection/guide-to-the-general-data-protection-regulation-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ata-protection-toolkit-for-sch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data-protection/guide-to-the-general-data-protection-regulation-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safeguarding-practitioners-information-sharing-advice"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ico.org.uk/for-organisations/guide-to-data-protection/guide-to-the-general-data-protection-regulation-gdpr/individual-rights/right-of-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703E-DD50-4805-874F-CBF6BC19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4489</Words>
  <Characters>25589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Example School Data Protection Policy</vt:lpstr>
    </vt:vector>
  </TitlesOfParts>
  <Company>Essex County Council</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School Data Protection Policy</dc:title>
  <dc:creator>EJS Data Protection Policy</dc:creator>
  <cp:lastModifiedBy>Phil Brookes</cp:lastModifiedBy>
  <cp:revision>4</cp:revision>
  <dcterms:created xsi:type="dcterms:W3CDTF">2022-10-13T10:31:00Z</dcterms:created>
  <dcterms:modified xsi:type="dcterms:W3CDTF">2022-10-13T10:32:00Z</dcterms:modified>
</cp:coreProperties>
</file>